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Heading1"/>
        <w:jc w:val="center"/>
      </w:pPr>
      <w:r>
        <w:t>个人非车险客户保障</w:t>
        <w:br/>
        <w:t>深度综合分析报告</w:t>
      </w:r>
    </w:p>
    <w:p/>
    <w:p>
      <w:pPr>
        <w:jc w:val="center"/>
      </w:pPr>
      <w:r>
        <w:rPr>
          <w:rFonts w:ascii="Microsoft YaHei" w:hAnsi="Microsoft YaHei" w:eastAsia="Microsoft YaHei"/>
          <w:color w:val="2E86C1"/>
          <w:sz w:val="26"/>
        </w:rPr>
        <w:t>—— 基于多智能体协同分析的保障缺口诊断、流失归因与经营策略建议</w:t>
      </w:r>
    </w:p>
    <w:p/>
    <w:p>
      <w:pPr>
        <w:jc w:val="center"/>
      </w:pPr>
      <w:r>
        <w:rPr>
          <w:rFonts w:ascii="Microsoft YaHei" w:hAnsi="Microsoft YaHei" w:eastAsia="Microsoft YaHei"/>
          <w:color w:val="95A5A6"/>
          <w:sz w:val="20"/>
        </w:rPr>
        <w:t>报告日期：2026年05月25日　｜　分析覆盖：5,000客户 / 10,000保单　｜　密级：内部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rPr>
          <w:rFonts w:ascii="Microsoft YaHei" w:hAnsi="Microsoft YaHei" w:eastAsia="Microsoft YaHei"/>
          <w:b/>
          <w:sz w:val="24"/>
        </w:rPr>
        <w:t xml:space="preserve">一、执行摘要  </w:t>
      </w:r>
      <w:r>
        <w:rPr>
          <w:rFonts w:ascii="Microsoft YaHei" w:hAnsi="Microsoft YaHei" w:eastAsia="Microsoft YaHei"/>
          <w:color w:val="7F8C8D"/>
          <w:sz w:val="20"/>
        </w:rPr>
        <w:t>核心发现一句话总结，关键数字与建议</w:t>
      </w:r>
    </w:p>
    <w:p>
      <w:r>
        <w:rPr>
          <w:rFonts w:ascii="Microsoft YaHei" w:hAnsi="Microsoft YaHei" w:eastAsia="Microsoft YaHei"/>
          <w:b/>
          <w:sz w:val="24"/>
        </w:rPr>
        <w:t xml:space="preserve">二、智能体系统概述  </w:t>
      </w:r>
      <w:r>
        <w:rPr>
          <w:rFonts w:ascii="Microsoft YaHei" w:hAnsi="Microsoft YaHei" w:eastAsia="Microsoft YaHei"/>
          <w:color w:val="7F8C8D"/>
          <w:sz w:val="20"/>
        </w:rPr>
        <w:t>四大智能体的角色、职责与协作关系</w:t>
      </w:r>
    </w:p>
    <w:p>
      <w:r>
        <w:rPr>
          <w:rFonts w:ascii="Microsoft YaHei" w:hAnsi="Microsoft YaHei" w:eastAsia="Microsoft YaHei"/>
          <w:b/>
          <w:sz w:val="24"/>
        </w:rPr>
        <w:t xml:space="preserve">三、全量客户画像全景分析  </w:t>
      </w:r>
      <w:r>
        <w:rPr>
          <w:rFonts w:ascii="Microsoft YaHei" w:hAnsi="Microsoft YaHei" w:eastAsia="Microsoft YaHei"/>
          <w:color w:val="7F8C8D"/>
          <w:sz w:val="20"/>
        </w:rPr>
        <w:t>5,000客户的需求标签、险种渗透率与核心分群</w:t>
      </w:r>
    </w:p>
    <w:p>
      <w:r>
        <w:rPr>
          <w:rFonts w:ascii="Microsoft YaHei" w:hAnsi="Microsoft YaHei" w:eastAsia="Microsoft YaHei"/>
          <w:b/>
          <w:sz w:val="24"/>
        </w:rPr>
        <w:t xml:space="preserve">四、保单全生命周期管理洞见  </w:t>
      </w:r>
      <w:r>
        <w:rPr>
          <w:rFonts w:ascii="Microsoft YaHei" w:hAnsi="Microsoft YaHei" w:eastAsia="Microsoft YaHei"/>
          <w:color w:val="7F8C8D"/>
          <w:sz w:val="20"/>
        </w:rPr>
        <w:t>保单状态、到期预警与异常事件识别</w:t>
      </w:r>
    </w:p>
    <w:p>
      <w:r>
        <w:rPr>
          <w:rFonts w:ascii="Microsoft YaHei" w:hAnsi="Microsoft YaHei" w:eastAsia="Microsoft YaHei"/>
          <w:b/>
          <w:sz w:val="24"/>
        </w:rPr>
        <w:t xml:space="preserve">五、保障缺口深度诊断  </w:t>
      </w:r>
      <w:r>
        <w:rPr>
          <w:rFonts w:ascii="Microsoft YaHei" w:hAnsi="Microsoft YaHei" w:eastAsia="Microsoft YaHei"/>
          <w:color w:val="7F8C8D"/>
          <w:sz w:val="20"/>
        </w:rPr>
        <w:t>社保商保比对、缺口量化、因果校准与三档方案</w:t>
      </w:r>
    </w:p>
    <w:p>
      <w:r>
        <w:rPr>
          <w:rFonts w:ascii="Microsoft YaHei" w:hAnsi="Microsoft YaHei" w:eastAsia="Microsoft YaHei"/>
          <w:b/>
          <w:sz w:val="24"/>
        </w:rPr>
        <w:t xml:space="preserve">六、流失归因与智能召回  </w:t>
      </w:r>
      <w:r>
        <w:rPr>
          <w:rFonts w:ascii="Microsoft YaHei" w:hAnsi="Microsoft YaHei" w:eastAsia="Microsoft YaHei"/>
          <w:color w:val="7F8C8D"/>
          <w:sz w:val="20"/>
        </w:rPr>
        <w:t>流失检测、因果归因、差异化召回策略</w:t>
      </w:r>
    </w:p>
    <w:p>
      <w:r>
        <w:rPr>
          <w:rFonts w:ascii="Microsoft YaHei" w:hAnsi="Microsoft YaHei" w:eastAsia="Microsoft YaHei"/>
          <w:b/>
          <w:sz w:val="24"/>
        </w:rPr>
        <w:t xml:space="preserve">七、因果推断核心技术发现  </w:t>
      </w:r>
      <w:r>
        <w:rPr>
          <w:rFonts w:ascii="Microsoft YaHei" w:hAnsi="Microsoft YaHei" w:eastAsia="Microsoft YaHei"/>
          <w:color w:val="7F8C8D"/>
          <w:sz w:val="20"/>
        </w:rPr>
        <w:t>流失归因DML+PSM分析 &amp; 缺口校准因果发现</w:t>
      </w:r>
    </w:p>
    <w:p>
      <w:r>
        <w:rPr>
          <w:rFonts w:ascii="Microsoft YaHei" w:hAnsi="Microsoft YaHei" w:eastAsia="Microsoft YaHei"/>
          <w:b/>
          <w:sz w:val="24"/>
        </w:rPr>
        <w:t xml:space="preserve">八、综合管理建议与行动路线图  </w:t>
      </w:r>
      <w:r>
        <w:rPr>
          <w:rFonts w:ascii="Microsoft YaHei" w:hAnsi="Microsoft YaHei" w:eastAsia="Microsoft YaHei"/>
          <w:color w:val="7F8C8D"/>
          <w:sz w:val="20"/>
        </w:rPr>
        <w:t>优先级排序的管理建议与实施路径</w:t>
      </w:r>
    </w:p>
    <w:p>
      <w:r>
        <w:rPr>
          <w:rFonts w:ascii="Microsoft YaHei" w:hAnsi="Microsoft YaHei" w:eastAsia="Microsoft YaHei"/>
          <w:b/>
          <w:sz w:val="24"/>
        </w:rPr>
        <w:t xml:space="preserve">附录  </w:t>
      </w:r>
      <w:r>
        <w:rPr>
          <w:rFonts w:ascii="Microsoft YaHei" w:hAnsi="Microsoft YaHei" w:eastAsia="Microsoft YaHei"/>
          <w:color w:val="7F8C8D"/>
          <w:sz w:val="20"/>
        </w:rPr>
        <w:t>数据说明、方法局限与后续迭代方向</w:t>
      </w:r>
    </w:p>
    <w:p>
      <w:r>
        <w:br w:type="page"/>
      </w:r>
    </w:p>
    <w:p>
      <w:pPr>
        <w:pStyle w:val="Heading1"/>
      </w:pPr>
      <w:r>
        <w:t>一、执行摘要</w:t>
      </w:r>
    </w:p>
    <w:p>
      <w:pPr/>
      <w:r>
        <w:rPr>
          <w:rFonts w:ascii="Microsoft YaHei" w:hAnsi="Microsoft YaHei" w:eastAsia="Microsoft YaHei"/>
          <w:sz w:val="22"/>
        </w:rPr>
        <w:t>本报告基于「个人非车险智能体系统」的协同分析结果，综合了用户画像建模、保单生命周期管理、保障缺口诊断、流失归因与召回策略四大智能体的分析发现，并结合DML（双机器学习）与PSM（倾向性得分匹配）因果推断方法，形成了从「数据→洞察→归因→策略」的完整分析链路。</w:t>
      </w:r>
    </w:p>
    <w:p>
      <w:pPr>
        <w:pStyle w:val="Heading2"/>
      </w:pPr>
      <w:r>
        <w:t>核心发现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28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5472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核心发现</w:t>
            </w:r>
          </w:p>
        </w:tc>
        <w:tc>
          <w:tcPr>
            <w:tcW w:type="dxa" w:w="288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业务影响</w:t>
            </w:r>
          </w:p>
        </w:tc>
      </w:tr>
      <w:tr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保障覆盖率</w:t>
            </w:r>
          </w:p>
        </w:tc>
        <w:tc>
          <w:tcPr>
            <w:tcW w:type="dxa" w:w="547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5,000客户中，医疗险渗透率仅33.9%，重疾险31.7%，意外险20.7%，寿险20.2%——超六成客户关键保障空白</w:t>
            </w:r>
          </w:p>
        </w:tc>
        <w:tc>
          <w:tcPr>
            <w:tcW w:type="dxa" w:w="288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巨大交叉销售空间，人均可推荐2-3个险种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需求刚性</w:t>
            </w:r>
          </w:p>
        </w:tc>
        <w:tc>
          <w:tcPr>
            <w:tcW w:type="dxa" w:w="547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93.6%客户有医疗刚需，82.8%有大病保障需求，67.7%有养老储蓄需求——需求远超供给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产品供给与客户需求严重错配</w:t>
            </w:r>
          </w:p>
        </w:tc>
      </w:tr>
      <w:tr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保障缺口</w:t>
            </w:r>
          </w:p>
        </w:tc>
        <w:tc>
          <w:tcPr>
            <w:tcW w:type="dxa" w:w="547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6户代表性样本合计保障缺口超1,500万元（校准后），寿险缺口占比最高</w:t>
            </w:r>
          </w:p>
        </w:tc>
        <w:tc>
          <w:tcPr>
            <w:tcW w:type="dxa" w:w="288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寿险是最被忽视的保障品类，也是最大增量市场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流失现状</w:t>
            </w:r>
          </w:p>
        </w:tc>
        <w:tc>
          <w:tcPr>
            <w:tcW w:type="dxa" w:w="547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8张保单失效/到期终止，合计保额损失超153万元，涉及5户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沉睡客户召回可挽回至少¥11,625/年保费</w:t>
            </w:r>
          </w:p>
        </w:tc>
      </w:tr>
      <w:tr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流失主因</w:t>
            </w:r>
          </w:p>
        </w:tc>
        <w:tc>
          <w:tcPr>
            <w:tcW w:type="dxa" w:w="547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理赔纠纷（+21.4%流失概率）和交互频次不足（-18.8%流失概率）是最显著因果因素</w:t>
            </w:r>
          </w:p>
        </w:tc>
        <w:tc>
          <w:tcPr>
            <w:tcW w:type="dxa" w:w="288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优化理赔体验+增加主动触达是最有效的留存策略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因果校准</w:t>
            </w:r>
          </w:p>
        </w:tc>
        <w:tc>
          <w:tcPr>
            <w:tcW w:type="dxa" w:w="547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城市等级驱动医疗缺口，收入驱动重疾缺口，家庭负担+城市等级双重驱动寿险缺口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缺口诊断应分层校准，一线城市和高负担家庭保额需大幅上调</w:t>
            </w:r>
          </w:p>
        </w:tc>
      </w:tr>
    </w:tbl>
    <w:p/>
    <w:p>
      <w:pPr>
        <w:jc w:val="left"/>
      </w:pPr>
      <w:r>
        <w:rPr>
          <w:rFonts w:ascii="Microsoft YaHei" w:hAnsi="Microsoft YaHei" w:eastAsia="Microsoft YaHei"/>
          <w:b/>
          <w:color w:val="1A5276"/>
          <w:sz w:val="22"/>
        </w:rPr>
        <w:t>💡 一句话总结：客户保障缺口巨大、需求刚性强烈，理赔体验和主动服务是留存关键，寿险和医疗险是最大增量战场。</w:t>
      </w:r>
    </w:p>
    <w:p>
      <w:r>
        <w:br w:type="page"/>
      </w:r>
    </w:p>
    <w:p>
      <w:pPr>
        <w:pStyle w:val="Heading1"/>
      </w:pPr>
      <w:r>
        <w:t>二、智能体系统概述</w:t>
      </w:r>
    </w:p>
    <w:p>
      <w:pPr/>
      <w:r>
        <w:rPr>
          <w:rFonts w:ascii="Microsoft YaHei" w:hAnsi="Microsoft YaHei" w:eastAsia="Microsoft YaHei"/>
          <w:sz w:val="22"/>
        </w:rPr>
        <w:t>本次分析由「个人非车险智能体系统」协同完成。该系统由四个专业智能体组成，每个智能体承担独特的分析角色，通过数据流和事件驱动的协作机制，形成端到端的客户经营分析能力。</w:t>
      </w:r>
    </w:p>
    <w:p>
      <w:pPr>
        <w:pStyle w:val="Heading2"/>
      </w:pPr>
      <w:r>
        <w:t>2.1 系统架构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28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智能体</w:t>
            </w:r>
          </w:p>
        </w:tc>
        <w:tc>
          <w:tcPr>
            <w:tcW w:type="dxa" w:w="144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312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核心职责</w:t>
            </w:r>
          </w:p>
        </w:tc>
        <w:tc>
          <w:tcPr>
            <w:tcW w:type="dxa" w:w="216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288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输出</w:t>
            </w:r>
          </w:p>
        </w:tc>
      </w:tr>
      <w:tr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🏷️ 画像建模</w:t>
              <w:br/>
              <w:t>(Profile Modeler)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客户理解层</w:t>
            </w:r>
          </w:p>
        </w:tc>
        <w:tc>
          <w:tcPr>
            <w:tcW w:type="dxa" w:w="331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五维标签体系构建：基础/保障/健康/行为/需求标签；全量分群洞察</w:t>
            </w:r>
          </w:p>
        </w:tc>
        <w:tc>
          <w:tcPr>
            <w:tcW w:type="dxa" w:w="216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客户画像表、保单主表、事件日志</w:t>
            </w:r>
          </w:p>
        </w:tc>
        <w:tc>
          <w:tcPr>
            <w:tcW w:type="dxa" w:w="288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全量画像汇总 + 6户代表性样本详细画像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📋 保单编排</w:t>
              <w:br/>
              <w:t>(Policy Orchestrator)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保单管理层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保单状态机管理、到期预警巡检、异常事件识别、家庭保障报告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保单数据 + 画像标签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保单状态快照、到期预警、流失事件队列</w:t>
            </w:r>
          </w:p>
        </w:tc>
      </w:tr>
      <w:tr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🔍 缺口诊断</w:t>
              <w:br/>
              <w:t>(Gap Diagnosis Engine)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诊断分析层</w:t>
            </w:r>
          </w:p>
        </w:tc>
        <w:tc>
          <w:tcPr>
            <w:tcW w:type="dxa" w:w="331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社保商保比对、三缺口量化（重疾/寿险/医疗）、因果校准、三档方案生成</w:t>
            </w:r>
          </w:p>
        </w:tc>
        <w:tc>
          <w:tcPr>
            <w:tcW w:type="dxa" w:w="216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画像+保单+社保数据+因果参数</w:t>
            </w:r>
          </w:p>
        </w:tc>
        <w:tc>
          <w:tcPr>
            <w:tcW w:type="dxa" w:w="288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缺口量化报告 + 极简/全面/高端三档方案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🔄 流失召回</w:t>
              <w:br/>
              <w:t>(Churn Recovery Agent)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策略执行层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流失检测、因果归因（PSM+DML）、CATE异质性分群、差异化召回策略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流失事件队列 + 画像 + 因果参数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个体归因 + 召回话术 + A/B测试设计</w:t>
            </w:r>
          </w:p>
        </w:tc>
      </w:tr>
    </w:tbl>
    <w:p/>
    <w:p>
      <w:pPr>
        <w:pStyle w:val="Heading2"/>
      </w:pPr>
      <w:r>
        <w:t>2.2 工作流执行链路</w:t>
      </w:r>
    </w:p>
    <w:p>
      <w:pPr/>
      <w:r>
        <w:rPr>
          <w:rFonts w:ascii="Microsoft YaHei" w:hAnsi="Microsoft YaHei" w:eastAsia="Microsoft YaHei"/>
          <w:sz w:val="22"/>
        </w:rPr>
        <w:t>本次分析按以下顺序依次执行，形成完整的数据→洞察→策略闭环：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① 画像建模 → 构建5,000客户全景画像，输出分群洞察与代表性样本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② 保单编排 → 巡检6户代表性样本的保单状态，识别到期预警与异常事件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③ 缺口诊断 → 对6户进行社保商保比对、缺口量化（三缺口）+ 因果校准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④ 因果推断 → 运行流失归因（churn_attribution）和缺口校准（gap_calibration）两套模型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⑤ 流失召回 → 基于保单异常事件+因果归因，进行个体化流失诊断与召回策略设计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⑥ 缺口再触达 → 对高价值流失客户（CUST00000006）触发缺口再触达，联动缺口诊断引擎</w:t>
      </w:r>
    </w:p>
    <w:p>
      <w:r>
        <w:br w:type="page"/>
      </w:r>
    </w:p>
    <w:p>
      <w:pPr>
        <w:pStyle w:val="Heading1"/>
      </w:pPr>
      <w:r>
        <w:t>三、全量客户画像全景分析</w:t>
      </w:r>
    </w:p>
    <w:p>
      <w:pPr/>
      <w:r>
        <w:rPr>
          <w:rFonts w:ascii="Microsoft YaHei" w:hAnsi="Microsoft YaHei" w:eastAsia="Microsoft YaHei"/>
          <w:sz w:val="22"/>
        </w:rPr>
        <w:t>画像建模智能体对全部5,000名客户进行了五维标签体系建模（基础信息、保障持有、健康状况、行为特征、潜在需求），产出全量画像汇总和6户代表性样本的详细画像。以下是核心发现。</w:t>
      </w:r>
    </w:p>
    <w:p>
      <w:pPr>
        <w:pStyle w:val="Heading2"/>
      </w:pPr>
      <w:r>
        <w:t>3.1 数据概览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592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4608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客户总数</w:t>
            </w:r>
          </w:p>
        </w:tc>
        <w:tc>
          <w:tcPr>
            <w:tcW w:type="dxa" w:w="259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5,000人</w:t>
            </w:r>
          </w:p>
        </w:tc>
        <w:tc>
          <w:tcPr>
            <w:tcW w:type="dxa" w:w="460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含4,307人持有保单（86.1%），693人无保单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保单总数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10,000张</w:t>
            </w:r>
          </w:p>
        </w:tc>
        <w:tc>
          <w:tcPr>
            <w:tcW w:type="dxa" w:w="460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人均2.0张（含无保单客户），持有人均2.3张</w:t>
            </w:r>
          </w:p>
        </w:tc>
      </w:tr>
      <w:tr>
        <w:tc>
          <w:tcPr>
            <w:tcW w:type="dxa" w:w="288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行为事件</w:t>
            </w:r>
          </w:p>
        </w:tc>
        <w:tc>
          <w:tcPr>
            <w:tcW w:type="dxa" w:w="259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50,014条</w:t>
            </w:r>
          </w:p>
        </w:tc>
        <w:tc>
          <w:tcPr>
            <w:tcW w:type="dxa" w:w="460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含缴费记录50,000条 + 生命周期事件14条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人均需求标签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4.2个</w:t>
            </w:r>
          </w:p>
        </w:tc>
        <w:tc>
          <w:tcPr>
            <w:tcW w:type="dxa" w:w="460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682人同时有全部6个需求标签</w:t>
            </w:r>
          </w:p>
        </w:tc>
      </w:tr>
    </w:tbl>
    <w:p/>
    <w:p>
      <w:pPr>
        <w:pStyle w:val="Heading2"/>
      </w:pPr>
      <w:r>
        <w:t>3.2 六大需求标签排名</w:t>
      </w:r>
    </w:p>
    <w:p>
      <w:pPr/>
      <w:r>
        <w:rPr>
          <w:rFonts w:ascii="Microsoft YaHei" w:hAnsi="Microsoft YaHei" w:eastAsia="Microsoft YaHei"/>
          <w:sz w:val="20"/>
        </w:rPr>
        <w:t>基于客户的年龄、家庭结构、收入水平、已有保障和生命周期阶段，智能体自动识别了六大潜在需求标签。需求标签的覆盖率远高于实际险种渗透率——这表明绝大多数客户存在「需要但未购买」的保障缺口。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864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排名</w:t>
            </w:r>
          </w:p>
        </w:tc>
        <w:tc>
          <w:tcPr>
            <w:tcW w:type="dxa" w:w="1728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需求标签</w:t>
            </w:r>
          </w:p>
        </w:tc>
        <w:tc>
          <w:tcPr>
            <w:tcW w:type="dxa" w:w="1584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覆盖人数</w:t>
            </w:r>
          </w:p>
        </w:tc>
        <w:tc>
          <w:tcPr>
            <w:tcW w:type="dxa" w:w="1152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覆盖率</w:t>
            </w:r>
          </w:p>
        </w:tc>
        <w:tc>
          <w:tcPr>
            <w:tcW w:type="dxa" w:w="1152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紧迫度</w:t>
            </w:r>
          </w:p>
        </w:tc>
        <w:tc>
          <w:tcPr>
            <w:tcW w:type="dxa" w:w="360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业务含义</w:t>
            </w:r>
          </w:p>
        </w:tc>
      </w:tr>
      <w:tr>
        <w:tc>
          <w:tcPr>
            <w:tcW w:type="dxa" w:w="864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🔴 1</w:t>
            </w:r>
          </w:p>
        </w:tc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医疗刚需</w:t>
            </w:r>
          </w:p>
        </w:tc>
        <w:tc>
          <w:tcPr>
            <w:tcW w:type="dxa" w:w="1584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4,678人</w:t>
            </w:r>
          </w:p>
        </w:tc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93.6%</w:t>
            </w:r>
          </w:p>
        </w:tc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极高</w:t>
            </w:r>
          </w:p>
        </w:tc>
        <w:tc>
          <w:tcPr>
            <w:tcW w:type="dxa" w:w="360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几乎人人需要，但仅33.9%持有医疗险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🟠 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大病保障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4,140人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82.8%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极高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五分之四客户需要重疾保障，仅31.7%持有</w:t>
            </w:r>
          </w:p>
        </w:tc>
      </w:tr>
      <w:tr>
        <w:tc>
          <w:tcPr>
            <w:tcW w:type="dxa" w:w="864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🟡 3</w:t>
            </w:r>
          </w:p>
        </w:tc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出行保障</w:t>
            </w:r>
          </w:p>
        </w:tc>
        <w:tc>
          <w:tcPr>
            <w:tcW w:type="dxa" w:w="1584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3,963人</w:t>
            </w:r>
          </w:p>
        </w:tc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79.3%</w:t>
            </w:r>
          </w:p>
        </w:tc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  <w:tc>
          <w:tcPr>
            <w:tcW w:type="dxa" w:w="360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意外险+旅行险渗透率合计约30%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🟢 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养老储蓄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3,386人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67.7%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年金险渗透率仅20.4%，近半客户养老裸奔</w:t>
            </w:r>
          </w:p>
        </w:tc>
      </w:tr>
      <w:tr>
        <w:tc>
          <w:tcPr>
            <w:tcW w:type="dxa" w:w="864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🔵 5</w:t>
            </w:r>
          </w:p>
        </w:tc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子女规划</w:t>
            </w:r>
          </w:p>
        </w:tc>
        <w:tc>
          <w:tcPr>
            <w:tcW w:type="dxa" w:w="1584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2,556人</w:t>
            </w:r>
          </w:p>
        </w:tc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51.1%</w:t>
            </w:r>
          </w:p>
        </w:tc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  <w:tc>
          <w:tcPr>
            <w:tcW w:type="dxa" w:w="360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有子女家庭中少儿险渗透率仅6.8%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🟣 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家庭责任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2,208人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44.2%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有家庭负担者寿险渗透率仅20.2%</w:t>
            </w:r>
          </w:p>
        </w:tc>
      </w:tr>
    </w:tbl>
    <w:p/>
    <w:p>
      <w:pPr>
        <w:pStyle w:val="Heading2"/>
      </w:pPr>
      <w:r>
        <w:t>3.3 险种渗透率——保障缺口全景</w:t>
      </w:r>
    </w:p>
    <w:p>
      <w:pPr/>
      <w:r>
        <w:rPr>
          <w:rFonts w:ascii="Microsoft YaHei" w:hAnsi="Microsoft YaHei" w:eastAsia="Microsoft YaHei"/>
          <w:sz w:val="20"/>
        </w:rPr>
        <w:t>下图展示了各险种的渗透率与未覆盖比例。医疗险和重疾险作为最基础的保障品类，渗透率仅三成左右；意外险、年金险、寿险更是不到四分之一。少儿险在有子女家庭中的渗透率仅6.8%，是最大的结构性缺口。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4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险种</w:t>
            </w:r>
          </w:p>
        </w:tc>
        <w:tc>
          <w:tcPr>
            <w:tcW w:type="dxa" w:w="144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渗透率</w:t>
            </w:r>
          </w:p>
        </w:tc>
        <w:tc>
          <w:tcPr>
            <w:tcW w:type="dxa" w:w="1872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已覆盖人数</w:t>
            </w:r>
          </w:p>
        </w:tc>
        <w:tc>
          <w:tcPr>
            <w:tcW w:type="dxa" w:w="216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未覆盖比例</w:t>
            </w:r>
          </w:p>
        </w:tc>
        <w:tc>
          <w:tcPr>
            <w:tcW w:type="dxa" w:w="3168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缺口评估</w:t>
            </w:r>
          </w:p>
        </w:tc>
      </w:tr>
      <w:tr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医疗险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33.9%</w:t>
            </w:r>
          </w:p>
        </w:tc>
        <w:tc>
          <w:tcPr>
            <w:tcW w:type="dxa" w:w="187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1,696人</w:t>
            </w:r>
          </w:p>
        </w:tc>
        <w:tc>
          <w:tcPr>
            <w:tcW w:type="dxa" w:w="216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66.1%</w:t>
            </w:r>
          </w:p>
        </w:tc>
        <w:tc>
          <w:tcPr>
            <w:tcW w:type="dxa" w:w="316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🔴 严重——近三分之二客户无医疗险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重疾险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31.7%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1,587人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68.3%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🔴 严重——大病保障大面积缺失</w:t>
            </w:r>
          </w:p>
        </w:tc>
      </w:tr>
      <w:tr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意外险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20.7%</w:t>
            </w:r>
          </w:p>
        </w:tc>
        <w:tc>
          <w:tcPr>
            <w:tcW w:type="dxa" w:w="187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1,037人</w:t>
            </w:r>
          </w:p>
        </w:tc>
        <w:tc>
          <w:tcPr>
            <w:tcW w:type="dxa" w:w="216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79.3%</w:t>
            </w:r>
          </w:p>
        </w:tc>
        <w:tc>
          <w:tcPr>
            <w:tcW w:type="dxa" w:w="316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🔴 严重——近八成客户无意外保障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年金险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20.4%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1,020人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79.6%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🟠 高危——养老储蓄工具极度缺乏</w:t>
            </w:r>
          </w:p>
        </w:tc>
      </w:tr>
      <w:tr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寿险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20.2%</w:t>
            </w:r>
          </w:p>
        </w:tc>
        <w:tc>
          <w:tcPr>
            <w:tcW w:type="dxa" w:w="187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1,010人</w:t>
            </w:r>
          </w:p>
        </w:tc>
        <w:tc>
          <w:tcPr>
            <w:tcW w:type="dxa" w:w="216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79.8%</w:t>
            </w:r>
          </w:p>
        </w:tc>
        <w:tc>
          <w:tcPr>
            <w:tcW w:type="dxa" w:w="316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🟠 高危——家庭经济支柱大面积裸露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少儿险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6.8%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340人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93.2%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🔴 结构性缺口——有孩家庭严重保障不足</w:t>
            </w:r>
          </w:p>
        </w:tc>
      </w:tr>
    </w:tbl>
    <w:p/>
    <w:p>
      <w:pPr>
        <w:jc w:val="left"/>
      </w:pPr>
      <w:r>
        <w:rPr>
          <w:rFonts w:ascii="Microsoft YaHei" w:hAnsi="Microsoft YaHei" w:eastAsia="Microsoft YaHei"/>
          <w:b/>
          <w:color w:val="1A5276"/>
          <w:sz w:val="22"/>
        </w:rPr>
        <w:t>💡 关键洞察：即使在高净值客户（n=1,000）中，仍有86%缺乏医疗险、66%缺乏重疾险。保障缺口并非收入问题，而是认知和触达问题。</w:t>
      </w:r>
    </w:p>
    <w:p>
      <w:pPr>
        <w:pStyle w:val="Heading2"/>
      </w:pPr>
      <w:r>
        <w:t>3.4 核心分群洞察</w:t>
      </w:r>
    </w:p>
    <w:p>
      <w:pPr/>
      <w:r>
        <w:rPr>
          <w:rFonts w:ascii="Microsoft YaHei" w:hAnsi="Microsoft YaHei" w:eastAsia="Microsoft YaHei"/>
          <w:sz w:val="22"/>
        </w:rPr>
        <w:t>智能体按年龄、家庭结构、价值等级三个维度进行了分群分析：</w:t>
      </w:r>
    </w:p>
    <w:p>
      <w:pPr>
        <w:pStyle w:val="Heading3"/>
      </w:pPr>
      <w:r>
        <w:t>按年龄分群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72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年龄段</w:t>
            </w:r>
          </w:p>
        </w:tc>
        <w:tc>
          <w:tcPr>
            <w:tcW w:type="dxa" w:w="1152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人数</w:t>
            </w:r>
          </w:p>
        </w:tc>
        <w:tc>
          <w:tcPr>
            <w:tcW w:type="dxa" w:w="360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核心需求（TOP3）</w:t>
            </w:r>
          </w:p>
        </w:tc>
        <w:tc>
          <w:tcPr>
            <w:tcW w:type="dxa" w:w="3456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关键特征</w:t>
            </w:r>
          </w:p>
        </w:tc>
      </w:tr>
      <w:tr>
        <w:tc>
          <w:tcPr>
            <w:tcW w:type="dxa" w:w="187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少儿 (0-17岁)</w:t>
            </w:r>
          </w:p>
        </w:tc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240人</w:t>
            </w:r>
          </w:p>
        </w:tc>
        <w:tc>
          <w:tcPr>
            <w:tcW w:type="dxa" w:w="360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医疗刚需(99%) / 大病保障(98%) / 出行保障(90%)</w:t>
            </w:r>
          </w:p>
        </w:tc>
        <w:tc>
          <w:tcPr>
            <w:tcW w:type="dxa" w:w="3456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近乎100%刚需，但少儿险渗透率仅6.8%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青壮 (18-35岁)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936人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医疗刚需(93%) / 大病保障(82%) / 子女规划(55%)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子女需求浮现，家庭责任意识觉醒</w:t>
            </w:r>
          </w:p>
        </w:tc>
      </w:tr>
      <w:tr>
        <w:tc>
          <w:tcPr>
            <w:tcW w:type="dxa" w:w="187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中青 (36-45岁)</w:t>
            </w:r>
          </w:p>
        </w:tc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1,452人</w:t>
            </w:r>
          </w:p>
        </w:tc>
        <w:tc>
          <w:tcPr>
            <w:tcW w:type="dxa" w:w="360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医疗刚需(94%) / 出行保障(81%) / 养老储蓄(80%)</w:t>
            </w:r>
          </w:p>
        </w:tc>
        <w:tc>
          <w:tcPr>
            <w:tcW w:type="dxa" w:w="3456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最大群体，养老需求开始出现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中老 (46-60岁)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1,671人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养老储蓄(~100%) / 医疗刚需(90%+) / 大病保障(80%+)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养老储蓄100%刚需，产品供给严重不足</w:t>
            </w:r>
          </w:p>
        </w:tc>
      </w:tr>
      <w:tr>
        <w:tc>
          <w:tcPr>
            <w:tcW w:type="dxa" w:w="187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老年 (60+岁)</w:t>
            </w:r>
          </w:p>
        </w:tc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456人</w:t>
            </w:r>
          </w:p>
        </w:tc>
        <w:tc>
          <w:tcPr>
            <w:tcW w:type="dxa" w:w="360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养老储蓄(100%) / 医疗刚需(93%) / 大病保障(91%)</w:t>
            </w:r>
          </w:p>
        </w:tc>
        <w:tc>
          <w:tcPr>
            <w:tcW w:type="dxa" w:w="3456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高龄群体，核保难度大，需专项产品</w:t>
            </w:r>
          </w:p>
        </w:tc>
      </w:tr>
    </w:tbl>
    <w:p/>
    <w:p>
      <w:pPr>
        <w:pStyle w:val="Heading3"/>
      </w:pPr>
      <w:r>
        <w:t>按家庭结构分群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72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家庭结构</w:t>
            </w:r>
          </w:p>
        </w:tc>
        <w:tc>
          <w:tcPr>
            <w:tcW w:type="dxa" w:w="1152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人数</w:t>
            </w:r>
          </w:p>
        </w:tc>
        <w:tc>
          <w:tcPr>
            <w:tcW w:type="dxa" w:w="360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核心需求（TOP3）</w:t>
            </w:r>
          </w:p>
        </w:tc>
        <w:tc>
          <w:tcPr>
            <w:tcW w:type="dxa" w:w="3456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关键缺口</w:t>
            </w:r>
          </w:p>
        </w:tc>
      </w:tr>
      <w:tr>
        <w:tc>
          <w:tcPr>
            <w:tcW w:type="dxa" w:w="187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四口之家</w:t>
            </w:r>
          </w:p>
        </w:tc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353人</w:t>
            </w:r>
          </w:p>
        </w:tc>
        <w:tc>
          <w:tcPr>
            <w:tcW w:type="dxa" w:w="360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子女规划(100%) / 医疗(93%) / 大病(80%)</w:t>
            </w:r>
          </w:p>
        </w:tc>
        <w:tc>
          <w:tcPr>
            <w:tcW w:type="dxa" w:w="3456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少儿险+寿险双重刚性缺口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三口之家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905人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医疗(95%) / 子女规划(90%) / 大病(82%)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子女教育金+重疾险缺口</w:t>
            </w:r>
          </w:p>
        </w:tc>
      </w:tr>
      <w:tr>
        <w:tc>
          <w:tcPr>
            <w:tcW w:type="dxa" w:w="187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三代同堂</w:t>
            </w:r>
          </w:p>
        </w:tc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942人</w:t>
            </w:r>
          </w:p>
        </w:tc>
        <w:tc>
          <w:tcPr>
            <w:tcW w:type="dxa" w:w="360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医疗(93%) / 子女规划(81%) / 大病(80%)</w:t>
            </w:r>
          </w:p>
        </w:tc>
        <w:tc>
          <w:tcPr>
            <w:tcW w:type="dxa" w:w="3456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寿险缺口最严重（经济支柱×三代人）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独居老人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105人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养老储蓄(100%) / 大病(93%) / 医疗(92%)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专项老人产品渗透率仅9.8%</w:t>
            </w:r>
          </w:p>
        </w:tc>
      </w:tr>
      <w:tr>
        <w:tc>
          <w:tcPr>
            <w:tcW w:type="dxa" w:w="187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单身</w:t>
            </w:r>
          </w:p>
        </w:tc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996人</w:t>
            </w:r>
          </w:p>
        </w:tc>
        <w:tc>
          <w:tcPr>
            <w:tcW w:type="dxa" w:w="360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医疗(95%) / 大病(87%) / 出行(78%)</w:t>
            </w:r>
          </w:p>
        </w:tc>
        <w:tc>
          <w:tcPr>
            <w:tcW w:type="dxa" w:w="3456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相对简单，但意外险渗透率也仅20.7%</w:t>
            </w:r>
          </w:p>
        </w:tc>
      </w:tr>
    </w:tbl>
    <w:p/>
    <w:p>
      <w:pPr>
        <w:pStyle w:val="Heading3"/>
      </w:pPr>
      <w:r>
        <w:t>按价值等级分群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28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价值等级</w:t>
            </w:r>
          </w:p>
        </w:tc>
        <w:tc>
          <w:tcPr>
            <w:tcW w:type="dxa" w:w="1152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人数</w:t>
            </w:r>
          </w:p>
        </w:tc>
        <w:tc>
          <w:tcPr>
            <w:tcW w:type="dxa" w:w="2448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医疗险缺口</w:t>
            </w:r>
          </w:p>
        </w:tc>
        <w:tc>
          <w:tcPr>
            <w:tcW w:type="dxa" w:w="2448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重疾险缺口</w:t>
            </w:r>
          </w:p>
        </w:tc>
        <w:tc>
          <w:tcPr>
            <w:tcW w:type="dxa" w:w="2304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核心策略</w:t>
            </w:r>
          </w:p>
        </w:tc>
      </w:tr>
      <w:tr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高净值</w:t>
            </w:r>
          </w:p>
        </w:tc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1,000人</w:t>
            </w:r>
          </w:p>
        </w:tc>
        <w:tc>
          <w:tcPr>
            <w:tcW w:type="dxa" w:w="244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86%缺医疗险</w:t>
            </w:r>
          </w:p>
        </w:tc>
        <w:tc>
          <w:tcPr>
            <w:tcW w:type="dxa" w:w="244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66%缺重疾险</w:t>
            </w:r>
          </w:p>
        </w:tc>
        <w:tc>
          <w:tcPr>
            <w:tcW w:type="dxa" w:w="2304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高端医疗+大额重疾+家族信托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核心客户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1,500人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91%有医疗刚需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78%有大病需求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百万医疗+中端重疾+年金储蓄</w:t>
            </w:r>
          </w:p>
        </w:tc>
      </w:tr>
      <w:tr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大众客户</w:t>
            </w:r>
          </w:p>
        </w:tc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1,500人</w:t>
            </w:r>
          </w:p>
        </w:tc>
        <w:tc>
          <w:tcPr>
            <w:tcW w:type="dxa" w:w="244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97%有医疗刚需</w:t>
            </w:r>
          </w:p>
        </w:tc>
        <w:tc>
          <w:tcPr>
            <w:tcW w:type="dxa" w:w="244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88%有大病需求</w:t>
            </w:r>
          </w:p>
        </w:tc>
        <w:tc>
          <w:tcPr>
            <w:tcW w:type="dxa" w:w="2304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极简兜底方案（年保费¥650起）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低价值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1,000人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100%医疗刚需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99%大病需求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普惠型产品+社保补充+政府合作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39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gap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7F8C8D"/>
          <w:sz w:val="18"/>
        </w:rPr>
        <w:t>图1：产品持有与保障缺口分析。横轴展示各险种持有率，纵轴展示对应的保障缺口分布。医疗险和重疾险的持有率最低而需求最高，形成最大缺口面积。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20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income_famil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7F8C8D"/>
          <w:sz w:val="18"/>
        </w:rPr>
        <w:t>图2：年龄-收入散点图（按家庭结构着色）。不同家庭结构的客户在收入与年龄维度上呈现明显聚集，为分群经营提供了可视化依据。</w:t>
      </w:r>
    </w:p>
    <w:p/>
    <w:p>
      <w:r>
        <w:br w:type="page"/>
      </w:r>
    </w:p>
    <w:p>
      <w:pPr>
        <w:pStyle w:val="Heading1"/>
      </w:pPr>
      <w:r>
        <w:t>四、保单全生命周期管理洞见</w:t>
      </w:r>
    </w:p>
    <w:p>
      <w:pPr/>
      <w:r>
        <w:rPr>
          <w:rFonts w:ascii="Microsoft YaHei" w:hAnsi="Microsoft YaHei" w:eastAsia="Microsoft YaHei"/>
          <w:sz w:val="22"/>
        </w:rPr>
        <w:t>保单编排智能体对6户代表性样本的18张保单进行了全生命周期巡检，覆盖保单状态、到期预警、异常事件识别和家庭保障缺口快照四个维度。</w:t>
      </w:r>
    </w:p>
    <w:p>
      <w:pPr>
        <w:pStyle w:val="Heading2"/>
      </w:pPr>
      <w:r>
        <w:t>4.1 保单状态全景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72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144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44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5328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187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✅ 生效中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7张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38.9%</w:t>
            </w:r>
          </w:p>
        </w:tc>
        <w:tc>
          <w:tcPr>
            <w:tcW w:type="dxa" w:w="53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正常保障中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⏳ 待生效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1张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5.6%</w:t>
            </w:r>
          </w:p>
        </w:tc>
        <w:tc>
          <w:tcPr>
            <w:tcW w:type="dxa" w:w="53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CUST00000028重疾险，7月起保</w:t>
            </w:r>
          </w:p>
        </w:tc>
      </w:tr>
      <w:tr>
        <w:tc>
          <w:tcPr>
            <w:tcW w:type="dxa" w:w="187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🟡 宽限期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0张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0%</w:t>
            </w:r>
          </w:p>
        </w:tc>
        <w:tc>
          <w:tcPr>
            <w:tcW w:type="dxa" w:w="53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暂无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❌ 已终止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8张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44.4%</w:t>
            </w:r>
          </w:p>
        </w:tc>
        <w:tc>
          <w:tcPr>
            <w:tcW w:type="dxa" w:w="53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到期未续/失效——流失重点</w:t>
            </w:r>
          </w:p>
        </w:tc>
      </w:tr>
      <w:tr>
        <w:tc>
          <w:tcPr>
            <w:tcW w:type="dxa" w:w="187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🔴 理赔中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2张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11.1%</w:t>
            </w:r>
          </w:p>
        </w:tc>
        <w:tc>
          <w:tcPr>
            <w:tcW w:type="dxa" w:w="53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CUST00000028家财险 + 其他</w:t>
            </w:r>
          </w:p>
        </w:tc>
      </w:tr>
    </w:tbl>
    <w:p/>
    <w:p>
      <w:pPr>
        <w:jc w:val="left"/>
      </w:pPr>
      <w:r>
        <w:rPr>
          <w:rFonts w:ascii="Microsoft YaHei" w:hAnsi="Microsoft YaHei" w:eastAsia="Microsoft YaHei"/>
          <w:b/>
          <w:color w:val="1A5276"/>
          <w:sz w:val="22"/>
        </w:rPr>
        <w:t>💡 近半数保单已终止——这既是流失问题，也是巨大的「召回」机会。每召回一张保单，不仅挽回保费，更重建了客户关系。</w:t>
      </w:r>
    </w:p>
    <w:p>
      <w:pPr>
        <w:pStyle w:val="Heading2"/>
      </w:pPr>
      <w:r>
        <w:t>4.2 6户客户保单详情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728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客户</w:t>
            </w:r>
          </w:p>
        </w:tc>
        <w:tc>
          <w:tcPr>
            <w:tcW w:type="dxa" w:w="2304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画像</w:t>
            </w:r>
          </w:p>
        </w:tc>
        <w:tc>
          <w:tcPr>
            <w:tcW w:type="dxa" w:w="1008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保单数</w:t>
            </w:r>
          </w:p>
        </w:tc>
        <w:tc>
          <w:tcPr>
            <w:tcW w:type="dxa" w:w="144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生效中</w:t>
            </w:r>
          </w:p>
        </w:tc>
        <w:tc>
          <w:tcPr>
            <w:tcW w:type="dxa" w:w="144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已终止</w:t>
            </w:r>
          </w:p>
        </w:tc>
        <w:tc>
          <w:tcPr>
            <w:tcW w:type="dxa" w:w="1296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有效年保费</w:t>
            </w:r>
          </w:p>
        </w:tc>
        <w:tc>
          <w:tcPr>
            <w:tcW w:type="dxa" w:w="1296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保障评级</w:t>
            </w:r>
          </w:p>
        </w:tc>
      </w:tr>
      <w:tr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CUST00000028</w:t>
            </w:r>
          </w:p>
        </w:tc>
        <w:tc>
          <w:tcPr>
            <w:tcW w:type="dxa" w:w="2304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青壮·三口之家·高净值</w:t>
            </w:r>
          </w:p>
        </w:tc>
        <w:tc>
          <w:tcPr>
            <w:tcW w:type="dxa" w:w="100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1（寿险）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1（旅行险）</w:t>
            </w:r>
          </w:p>
        </w:tc>
        <w:tc>
          <w:tcPr>
            <w:tcW w:type="dxa" w:w="1296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¥1,357</w:t>
            </w:r>
          </w:p>
        </w:tc>
        <w:tc>
          <w:tcPr>
            <w:tcW w:type="dxa" w:w="1296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⚠️ 偏弱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CUST00000011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青壮·四口之家·大众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0 🔴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1（医疗险）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🔴 零保障！</w:t>
            </w:r>
          </w:p>
        </w:tc>
      </w:tr>
      <w:tr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CUST00000126</w:t>
            </w:r>
          </w:p>
        </w:tc>
        <w:tc>
          <w:tcPr>
            <w:tcW w:type="dxa" w:w="2304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青壮·单身·大众</w:t>
            </w:r>
          </w:p>
        </w:tc>
        <w:tc>
          <w:tcPr>
            <w:tcW w:type="dxa" w:w="100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1（医疗险）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0</w:t>
            </w:r>
          </w:p>
        </w:tc>
        <w:tc>
          <w:tcPr>
            <w:tcW w:type="dxa" w:w="1296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¥1,706</w:t>
            </w:r>
          </w:p>
        </w:tc>
        <w:tc>
          <w:tcPr>
            <w:tcW w:type="dxa" w:w="1296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⚠️ 不足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CUST00000002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中老·二人世界·核心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1（重疾险）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¥1,477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⚠️ 偏弱</w:t>
            </w:r>
          </w:p>
        </w:tc>
      </w:tr>
      <w:tr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CUST00000021</w:t>
            </w:r>
          </w:p>
        </w:tc>
        <w:tc>
          <w:tcPr>
            <w:tcW w:type="dxa" w:w="2304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老年·独居·高净值</w:t>
            </w:r>
          </w:p>
        </w:tc>
        <w:tc>
          <w:tcPr>
            <w:tcW w:type="dxa" w:w="100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2（医疗+重疾）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1296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¥3,594</w:t>
            </w:r>
          </w:p>
        </w:tc>
        <w:tc>
          <w:tcPr>
            <w:tcW w:type="dxa" w:w="1296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⚠️ 偏弱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CUST00000006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中青·三代同堂·高净值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2（重疾减保+家财）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¥7,945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⚠️ 偏弱</w:t>
            </w:r>
          </w:p>
        </w:tc>
      </w:tr>
    </w:tbl>
    <w:p/>
    <w:p>
      <w:pPr>
        <w:pStyle w:val="Heading2"/>
      </w:pPr>
      <w:r>
        <w:t>4.3 到期预警</w:t>
      </w:r>
    </w:p>
    <w:p>
      <w:pPr/>
      <w:r>
        <w:rPr>
          <w:rFonts w:ascii="Microsoft YaHei" w:hAnsi="Microsoft YaHei" w:eastAsia="Microsoft YaHei"/>
          <w:sz w:val="20"/>
        </w:rPr>
        <w:t>黄色预警：CUST00000006的POL0000000016（重疾险·减保状态），13天后（2026-06-07）到期，保额¥296,061。该保单为一年期重疾险且处于减保状态，到期需确认是否需重新核保。此为当前唯一预警项，但考虑到8张已终止保单均未续保，实际的「预警失败」问题更为严重——系统需前移预警窗口至到期前60天。</w:t>
      </w:r>
    </w:p>
    <w:p>
      <w:pPr>
        <w:pStyle w:val="Heading2"/>
      </w:pPr>
      <w:r>
        <w:t>4.4 异常事件清单——流失召回队列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576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客户</w:t>
            </w:r>
          </w:p>
        </w:tc>
        <w:tc>
          <w:tcPr>
            <w:tcW w:type="dxa" w:w="1152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保单号</w:t>
            </w:r>
          </w:p>
        </w:tc>
        <w:tc>
          <w:tcPr>
            <w:tcW w:type="dxa" w:w="1152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险种</w:t>
            </w:r>
          </w:p>
        </w:tc>
        <w:tc>
          <w:tcPr>
            <w:tcW w:type="dxa" w:w="144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1152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已过期</w:t>
            </w:r>
          </w:p>
        </w:tc>
        <w:tc>
          <w:tcPr>
            <w:tcW w:type="dxa" w:w="144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保额损失</w:t>
            </w:r>
          </w:p>
        </w:tc>
      </w:tr>
      <w:tr>
        <w:tc>
          <w:tcPr>
            <w:tcW w:type="dxa" w:w="576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CUST00000028</w:t>
            </w:r>
          </w:p>
        </w:tc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POL51</w:t>
            </w:r>
          </w:p>
        </w:tc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旅行险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到期终止</w:t>
            </w:r>
          </w:p>
        </w:tc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949天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¥85,106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CUST00000011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POL25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医疗险 🔴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到期终止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553天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¥151,934</w:t>
            </w:r>
          </w:p>
        </w:tc>
      </w:tr>
      <w:tr>
        <w:tc>
          <w:tcPr>
            <w:tcW w:type="dxa" w:w="576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CUST00000002</w:t>
            </w:r>
          </w:p>
        </w:tc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POL05</w:t>
            </w:r>
          </w:p>
        </w:tc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意外险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到期终止</w:t>
            </w:r>
          </w:p>
        </w:tc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417天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¥155,739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CUST00000002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POL06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重疾险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到期终止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527天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¥238,356</w:t>
            </w:r>
          </w:p>
        </w:tc>
      </w:tr>
      <w:tr>
        <w:tc>
          <w:tcPr>
            <w:tcW w:type="dxa" w:w="576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CUST00000021</w:t>
            </w:r>
          </w:p>
        </w:tc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POL43</w:t>
            </w:r>
          </w:p>
        </w:tc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意外险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到期终止</w:t>
            </w:r>
          </w:p>
        </w:tc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138天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¥28,554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CUST00000021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POL44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医疗险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失效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200天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¥188,014</w:t>
            </w:r>
          </w:p>
        </w:tc>
      </w:tr>
      <w:tr>
        <w:tc>
          <w:tcPr>
            <w:tcW w:type="dxa" w:w="576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7</w:t>
            </w:r>
          </w:p>
        </w:tc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CUST00000006</w:t>
            </w:r>
          </w:p>
        </w:tc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POL15</w:t>
            </w:r>
          </w:p>
        </w:tc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重疾险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到期终止</w:t>
            </w:r>
          </w:p>
        </w:tc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947天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¥384,784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CUST00000006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POL17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重疾险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到期终止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697天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¥305,929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856404"/>
          <w:sz w:val="22"/>
        </w:rPr>
        <w:t>📌 合计损失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🔴 保额损失合计：¥1,538,414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🟡 保费损失合计：¥11,625/年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⚪ 涉及客户：5户（共8张保单）</w:t>
      </w:r>
    </w:p>
    <w:p/>
    <w:p>
      <w:r>
        <w:br w:type="page"/>
      </w:r>
    </w:p>
    <w:p>
      <w:pPr>
        <w:pStyle w:val="Heading1"/>
      </w:pPr>
      <w:r>
        <w:t>五、保障缺口深度诊断</w:t>
      </w:r>
    </w:p>
    <w:p>
      <w:pPr/>
      <w:r>
        <w:rPr>
          <w:rFonts w:ascii="Microsoft YaHei" w:hAnsi="Microsoft YaHei" w:eastAsia="Microsoft YaHei"/>
          <w:sz w:val="22"/>
        </w:rPr>
        <w:t>保障缺口诊断引擎对6户代表性样本执行了完整的三阶段诊断流程：社保商保比对→缺口量化→因果校准→方案生成。本节呈现核心诊断结果。</w:t>
      </w:r>
    </w:p>
    <w:p>
      <w:pPr>
        <w:pStyle w:val="Heading2"/>
      </w:pPr>
      <w:r>
        <w:t>5.1 诊断方法论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432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60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产出</w:t>
            </w:r>
          </w:p>
        </w:tc>
      </w:tr>
      <w:tr>
        <w:tc>
          <w:tcPr>
            <w:tcW w:type="dxa" w:w="216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Phase A: 缺口量化</w:t>
            </w:r>
          </w:p>
        </w:tc>
        <w:tc>
          <w:tcPr>
            <w:tcW w:type="dxa" w:w="432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社保（城乡居民/职工医保）与商保对比，按年龄/收入/家庭负担测算重疾、寿险、医疗三个维度的保额缺口</w:t>
            </w:r>
          </w:p>
        </w:tc>
        <w:tc>
          <w:tcPr>
            <w:tcW w:type="dxa" w:w="360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6户×3维缺口原始值 + 10项异常识别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Phase B: 因果校准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应用DML+PSM因果推断得到的ATE参数（收入→重疾缺口/负担→寿险缺口/城市→医疗+寿险缺口），对原始缺口进行分层校准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校准后缺口值（更精准反映个体差异）</w:t>
            </w:r>
          </w:p>
        </w:tc>
      </w:tr>
      <w:tr>
        <w:tc>
          <w:tcPr>
            <w:tcW w:type="dxa" w:w="216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Phase C: 方案生成</w:t>
            </w:r>
          </w:p>
        </w:tc>
        <w:tc>
          <w:tcPr>
            <w:tcW w:type="dxa" w:w="432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基于校准后缺口，为每户生成极简/全面/高端三档方案，并按统一推荐链排序</w:t>
            </w:r>
          </w:p>
        </w:tc>
        <w:tc>
          <w:tcPr>
            <w:tcW w:type="dxa" w:w="360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每户三档方案 + 产品推荐 + 保费测算</w:t>
            </w:r>
          </w:p>
        </w:tc>
      </w:tr>
    </w:tbl>
    <w:p/>
    <w:p>
      <w:pPr>
        <w:pStyle w:val="Heading2"/>
      </w:pPr>
      <w:r>
        <w:t>5.2 6户校准后保障缺口总览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728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客户</w:t>
            </w:r>
          </w:p>
        </w:tc>
        <w:tc>
          <w:tcPr>
            <w:tcW w:type="dxa" w:w="216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画像</w:t>
            </w:r>
          </w:p>
        </w:tc>
        <w:tc>
          <w:tcPr>
            <w:tcW w:type="dxa" w:w="1296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年收入</w:t>
            </w:r>
          </w:p>
        </w:tc>
        <w:tc>
          <w:tcPr>
            <w:tcW w:type="dxa" w:w="144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重疾缺口</w:t>
            </w:r>
          </w:p>
        </w:tc>
        <w:tc>
          <w:tcPr>
            <w:tcW w:type="dxa" w:w="1728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寿险缺口</w:t>
            </w:r>
          </w:p>
        </w:tc>
        <w:tc>
          <w:tcPr>
            <w:tcW w:type="dxa" w:w="144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医疗缺口</w:t>
            </w:r>
          </w:p>
        </w:tc>
        <w:tc>
          <w:tcPr>
            <w:tcW w:type="dxa" w:w="1152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推荐档位</w:t>
            </w:r>
          </w:p>
        </w:tc>
      </w:tr>
      <w:tr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CUST00000006</w:t>
            </w:r>
          </w:p>
        </w:tc>
        <w:tc>
          <w:tcPr>
            <w:tcW w:type="dxa" w:w="216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三代同堂·一线</w:t>
            </w:r>
          </w:p>
        </w:tc>
        <w:tc>
          <w:tcPr>
            <w:tcW w:type="dxa" w:w="1296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¥61,524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¥4.3万</w:t>
            </w:r>
          </w:p>
        </w:tc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¥339.8万 🔴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¥61.7万</w:t>
            </w:r>
          </w:p>
        </w:tc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全面型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CUST00000011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四口之家·新一线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¥59,046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¥83.9万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¥229.5万 🔴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¥12.9万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全面型</w:t>
            </w:r>
          </w:p>
        </w:tc>
      </w:tr>
      <w:tr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CUST00000028</w:t>
            </w:r>
          </w:p>
        </w:tc>
        <w:tc>
          <w:tcPr>
            <w:tcW w:type="dxa" w:w="216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三口之家·一线</w:t>
            </w:r>
          </w:p>
        </w:tc>
        <w:tc>
          <w:tcPr>
            <w:tcW w:type="dxa" w:w="1296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¥101,180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¥90.6万</w:t>
            </w:r>
          </w:p>
        </w:tc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¥318.7万 🔴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¥23.8万</w:t>
            </w:r>
          </w:p>
        </w:tc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高端型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CUST00000021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独居老人·三线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¥104,899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¥88.8万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¥24.6万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高端型</w:t>
            </w:r>
          </w:p>
        </w:tc>
      </w:tr>
      <w:tr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CUST00000002</w:t>
            </w:r>
          </w:p>
        </w:tc>
        <w:tc>
          <w:tcPr>
            <w:tcW w:type="dxa" w:w="216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二人世界·二线</w:t>
            </w:r>
          </w:p>
        </w:tc>
        <w:tc>
          <w:tcPr>
            <w:tcW w:type="dxa" w:w="1296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¥40,857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¥0</w:t>
            </w:r>
          </w:p>
        </w:tc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¥49.4万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¥50.7万</w:t>
            </w:r>
          </w:p>
        </w:tc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极简型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CUST00000126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单身·三线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¥32,368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¥62.0万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¥19.2万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¥27.8万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极简型</w:t>
            </w:r>
          </w:p>
        </w:tc>
      </w:tr>
    </w:tbl>
    <w:p/>
    <w:p>
      <w:pPr>
        <w:jc w:val="left"/>
      </w:pPr>
      <w:r>
        <w:rPr>
          <w:rFonts w:ascii="Microsoft YaHei" w:hAnsi="Microsoft YaHei" w:eastAsia="Microsoft YaHei"/>
          <w:b/>
          <w:color w:val="1A5276"/>
          <w:sz w:val="22"/>
        </w:rPr>
        <w:t>💡 寿险缺口是最大黑洞：CUST00000006的寿险缺口高达340万元（校准后），CUST00000028为319万元，CUST00000011为229万元。寿险作为「家庭经济支柱的最后防线」，在当前客户中大面积缺失。</w:t>
      </w:r>
    </w:p>
    <w:p>
      <w:pPr>
        <w:pStyle w:val="Heading2"/>
      </w:pPr>
      <w:r>
        <w:t>5.3 重点客户深度剖析</w:t>
      </w:r>
    </w:p>
    <w:p>
      <w:pPr>
        <w:pStyle w:val="Heading3"/>
      </w:pPr>
      <w:r>
        <w:t>🔴 P0：CUST00000011 — 四口之家·零保障</w:t>
      </w:r>
    </w:p>
    <w:p>
      <w:pPr/>
      <w:r>
        <w:rPr>
          <w:rFonts w:ascii="Microsoft YaHei" w:hAnsi="Microsoft YaHei" w:eastAsia="Microsoft YaHei"/>
          <w:sz w:val="20"/>
        </w:rPr>
        <w:t>该客户为青壮年龄段、四口之家、新一线城市、大众客户，年收入约¥5.9万。其唯一的医疗险保单已于553天前到期终止，当前处于零有效保单状态。这意味着一个四口之家完全没有任何商业保险保障。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28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缺口维度</w:t>
            </w:r>
          </w:p>
        </w:tc>
        <w:tc>
          <w:tcPr>
            <w:tcW w:type="dxa" w:w="1728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基础值</w:t>
            </w:r>
          </w:p>
        </w:tc>
        <w:tc>
          <w:tcPr>
            <w:tcW w:type="dxa" w:w="1728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校准后</w:t>
            </w:r>
          </w:p>
        </w:tc>
        <w:tc>
          <w:tcPr>
            <w:tcW w:type="dxa" w:w="360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校准依据</w:t>
            </w:r>
          </w:p>
        </w:tc>
        <w:tc>
          <w:tcPr>
            <w:tcW w:type="dxa" w:w="1296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风险等级</w:t>
            </w:r>
          </w:p>
        </w:tc>
      </w:tr>
      <w:tr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重疾缺口</w:t>
            </w:r>
          </w:p>
        </w:tc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¥78.6万</w:t>
            </w:r>
          </w:p>
        </w:tc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¥83.9万</w:t>
            </w:r>
          </w:p>
        </w:tc>
        <w:tc>
          <w:tcPr>
            <w:tcW w:type="dxa" w:w="360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收入ATE: 4.05元/元收入 → +¥5.3万</w:t>
            </w:r>
          </w:p>
        </w:tc>
        <w:tc>
          <w:tcPr>
            <w:tcW w:type="dxa" w:w="1296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🔴 极高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寿险缺口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¥152.9万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¥229.5万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负担ATE + 城市ATE → +¥76.5万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🔴 极高</w:t>
            </w:r>
          </w:p>
        </w:tc>
      </w:tr>
      <w:tr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医疗缺口</w:t>
            </w:r>
          </w:p>
        </w:tc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¥7.9万</w:t>
            </w:r>
          </w:p>
        </w:tc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¥12.9万</w:t>
            </w:r>
          </w:p>
        </w:tc>
        <w:tc>
          <w:tcPr>
            <w:tcW w:type="dxa" w:w="360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城市ATE: +¥24,894/级 → +¥5.0万</w:t>
            </w:r>
          </w:p>
        </w:tc>
        <w:tc>
          <w:tcPr>
            <w:tcW w:type="dxa" w:w="1296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🟡 高</w:t>
            </w:r>
          </w:p>
        </w:tc>
      </w:tr>
    </w:tbl>
    <w:p/>
    <w:p>
      <w:pPr/>
      <w:r>
        <w:rPr>
          <w:rFonts w:ascii="Microsoft YaHei" w:hAnsi="Microsoft YaHei" w:eastAsia="Microsoft YaHei"/>
          <w:sz w:val="20"/>
        </w:rPr>
        <w:t>推荐方案：极简兜底——百万医疗险（¥350/年）+ 意外险（¥300/年），年保费仅¥650，占收入1.1%。全面型方案：加配重疾险50万（¥5,800/年）+ 定期寿险300万（¥2,000/年），年保费¥8,450，占收入14.3%。</w:t>
      </w:r>
    </w:p>
    <w:p>
      <w:pPr>
        <w:pStyle w:val="Heading3"/>
      </w:pPr>
      <w:r>
        <w:t>🔴 P0：CUST00000006 — 三代同堂·家庭支柱裸露</w:t>
      </w:r>
    </w:p>
    <w:p>
      <w:pPr/>
      <w:r>
        <w:rPr>
          <w:rFonts w:ascii="Microsoft YaHei" w:hAnsi="Microsoft YaHei" w:eastAsia="Microsoft YaHei"/>
          <w:sz w:val="20"/>
        </w:rPr>
        <w:t>该客户为中青年龄段、三代同堂家庭、一线城市、高净值客户，年收入约¥6.2万。虽然持有5张保单（其中2张生效中），但保障结构严重失衡：有家财险和减保状态的重疾险，却完全缺失医疗险、意外险和寿险——对于一个需要赡养老人和抚养子女的「夹心层」家庭支柱而言，寿险缺口高达340万元（校准后）是不可承受之风险。</w:t>
      </w:r>
    </w:p>
    <w:p>
      <w:pPr/>
      <w:r>
        <w:rPr>
          <w:rFonts w:ascii="Microsoft YaHei" w:hAnsi="Microsoft YaHei" w:eastAsia="Microsoft YaHei"/>
          <w:sz w:val="20"/>
        </w:rPr>
        <w:t>此外，该客户年保费合计¥7,945，占收入比例高达22.53%——这也是其被归为「价格敏感型」流失风险的核心原因。3张重疾险中已有2张到期终止、1张处于减保状态，反映出客户在保费压力下的主动缩减行为。</w:t>
      </w:r>
    </w:p>
    <w:p>
      <w:pPr/>
      <w:r>
        <w:rPr>
          <w:rFonts w:ascii="Microsoft YaHei" w:hAnsi="Microsoft YaHei" w:eastAsia="Microsoft YaHei"/>
          <w:sz w:val="20"/>
        </w:rPr>
        <w:t>推荐方案：全面型——中端医疗险500万（¥2,700/年）+ 意外险100万（¥300/年）+ 定期寿险300万（¥4,500/年），年保费¥7,500，占收入12.2%，低于现有支出。通过产品结构优化，在保费不增加的前提下补齐关键保障。</w:t>
      </w:r>
    </w:p>
    <w:p>
      <w:pPr>
        <w:pStyle w:val="Heading3"/>
      </w:pPr>
      <w:r>
        <w:t>🟡 P1：CUST00000028 — 配置严重失衡的高净值客户</w:t>
      </w:r>
    </w:p>
    <w:p>
      <w:pPr/>
      <w:r>
        <w:rPr>
          <w:rFonts w:ascii="Microsoft YaHei" w:hAnsi="Microsoft YaHei" w:eastAsia="Microsoft YaHei"/>
          <w:sz w:val="20"/>
        </w:rPr>
        <w:t>该客户年收入¥10.1万（6户中第二高），但保障配置极不合理：有旅行险（已过期949天）和寿险，却缺失最基础的医疗险和重疾险。重疾缺口91万元，寿险缺口319万元。配置逻辑本末倒置——旅行险是低频场景，医疗险和重疾险才是高频刚需。</w:t>
      </w:r>
    </w:p>
    <w:p>
      <w:pPr>
        <w:pStyle w:val="Heading2"/>
      </w:pPr>
      <w:r>
        <w:t>5.4 因果校准的核心发现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16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因果对</w:t>
            </w:r>
          </w:p>
        </w:tc>
        <w:tc>
          <w:tcPr>
            <w:tcW w:type="dxa" w:w="1872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DML ATE</w:t>
            </w:r>
          </w:p>
        </w:tc>
        <w:tc>
          <w:tcPr>
            <w:tcW w:type="dxa" w:w="144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显著性</w:t>
            </w:r>
          </w:p>
        </w:tc>
        <w:tc>
          <w:tcPr>
            <w:tcW w:type="dxa" w:w="2304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校准逻辑</w:t>
            </w:r>
          </w:p>
        </w:tc>
        <w:tc>
          <w:tcPr>
            <w:tcW w:type="dxa" w:w="2304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业务含义</w:t>
            </w:r>
          </w:p>
        </w:tc>
      </w:tr>
      <w:tr>
        <w:tc>
          <w:tcPr>
            <w:tcW w:type="dxa" w:w="216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收入 → 重疾缺口</w:t>
            </w:r>
          </w:p>
        </w:tc>
        <w:tc>
          <w:tcPr>
            <w:tcW w:type="dxa" w:w="187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4.05元/元收入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⭐⭐⭐ 极显著</w:t>
            </w:r>
          </w:p>
        </w:tc>
        <w:tc>
          <w:tcPr>
            <w:tcW w:type="dxa" w:w="2304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每+1万年收入 → 重疾缺口+4.05万</w:t>
            </w:r>
          </w:p>
        </w:tc>
        <w:tc>
          <w:tcPr>
            <w:tcW w:type="dxa" w:w="2304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高收入客户需更高重疾保额（收入替代效应）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家庭负担 → 寿险缺口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107,687元/单位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⭐⭐⭐ 极显著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每+1单位负担 → 寿险缺口+10.8万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有孩/多代家庭寿险保额需大幅上调</w:t>
            </w:r>
          </w:p>
        </w:tc>
      </w:tr>
      <w:tr>
        <w:tc>
          <w:tcPr>
            <w:tcW w:type="dxa" w:w="216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城市等级 → 寿险缺口</w:t>
            </w:r>
          </w:p>
        </w:tc>
        <w:tc>
          <w:tcPr>
            <w:tcW w:type="dxa" w:w="187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248,109元/级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⭐⭐⭐ 极显著</w:t>
            </w:r>
          </w:p>
        </w:tc>
        <w:tc>
          <w:tcPr>
            <w:tcW w:type="dxa" w:w="2304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每+1城市等级 → 寿险缺口+24.8万</w:t>
            </w:r>
          </w:p>
        </w:tc>
        <w:tc>
          <w:tcPr>
            <w:tcW w:type="dxa" w:w="2304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一线城市生活成本高，寿险需求更大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城市等级 → 医疗缺口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24,894元/级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⭐⭐⭐ 极显著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每+1城市等级 → 医疗缺口+2.5万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一线城市医疗自费比例高、费用高</w:t>
            </w:r>
          </w:p>
        </w:tc>
      </w:tr>
      <w:tr>
        <w:tc>
          <w:tcPr>
            <w:tcW w:type="dxa" w:w="216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收入 → 医疗缺口</w:t>
            </w:r>
          </w:p>
        </w:tc>
        <w:tc>
          <w:tcPr>
            <w:tcW w:type="dxa" w:w="187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不显著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2304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不用于校准</w:t>
            </w:r>
          </w:p>
        </w:tc>
        <w:tc>
          <w:tcPr>
            <w:tcW w:type="dxa" w:w="2304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医疗缺口与收入无关，医保覆盖吸收了差异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年龄 → 医疗缺口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不显著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不用于校准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年龄效应可能已被城市/收入解释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5171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ncome_vs_ga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17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7F8C8D"/>
          <w:sz w:val="18"/>
        </w:rPr>
        <w:t>图3：收入水平与保障缺口的关系。收入与重疾缺口呈显著正相关（红线），与医疗缺口基本无关。高收入客户虽然购买力更强，但重疾保额需求也更高。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515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ap_by_city_ti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1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7F8C8D"/>
          <w:sz w:val="18"/>
        </w:rPr>
        <w:t>图4：不同城市等级的保障缺口分布。一线城市（Tier 1）的寿险缺口和医疗缺口显著高于三线城市，反映了城市生活成本的差异。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5171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amily_burden_vs_ga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17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7F8C8D"/>
          <w:sz w:val="18"/>
        </w:rPr>
        <w:t>图5：家庭负担与保障缺口的关系。家庭负担越重，寿险缺口越大——「上有老下有小」的夹心层最需要寿险保障。</w:t>
      </w:r>
    </w:p>
    <w:p/>
    <w:p>
      <w:r>
        <w:br w:type="page"/>
      </w:r>
    </w:p>
    <w:p>
      <w:pPr>
        <w:pStyle w:val="Heading1"/>
      </w:pPr>
      <w:r>
        <w:t>六、流失归因与智能召回</w:t>
      </w:r>
    </w:p>
    <w:p>
      <w:pPr/>
      <w:r>
        <w:rPr>
          <w:rFonts w:ascii="Microsoft YaHei" w:hAnsi="Microsoft YaHei" w:eastAsia="Microsoft YaHei"/>
          <w:sz w:val="22"/>
        </w:rPr>
        <w:t>流失召回智能体从保单编排智能体的异常事件队列中识别出8个流失事件（涉及5户），通过PSM因果推断进行流失归因，并结合CATE异质性分析为每位客户设计了差异化的召回策略。</w:t>
      </w:r>
    </w:p>
    <w:p>
      <w:pPr>
        <w:pStyle w:val="Heading2"/>
      </w:pPr>
      <w:r>
        <w:t>6.1 流失检测结果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728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用户</w:t>
            </w:r>
          </w:p>
        </w:tc>
        <w:tc>
          <w:tcPr>
            <w:tcW w:type="dxa" w:w="2304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画像</w:t>
            </w:r>
          </w:p>
        </w:tc>
        <w:tc>
          <w:tcPr>
            <w:tcW w:type="dxa" w:w="216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流失保单</w:t>
            </w:r>
          </w:p>
        </w:tc>
        <w:tc>
          <w:tcPr>
            <w:tcW w:type="dxa" w:w="1872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44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过期天数</w:t>
            </w:r>
          </w:p>
        </w:tc>
        <w:tc>
          <w:tcPr>
            <w:tcW w:type="dxa" w:w="1152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风险等级</w:t>
            </w:r>
          </w:p>
        </w:tc>
      </w:tr>
      <w:tr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CUST00000028</w:t>
            </w:r>
          </w:p>
        </w:tc>
        <w:tc>
          <w:tcPr>
            <w:tcW w:type="dxa" w:w="2304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青壮·三口之家·高净值</w:t>
            </w:r>
          </w:p>
        </w:tc>
        <w:tc>
          <w:tcPr>
            <w:tcW w:type="dxa" w:w="216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旅行险 POL51</w:t>
            </w:r>
          </w:p>
        </w:tc>
        <w:tc>
          <w:tcPr>
            <w:tcW w:type="dxa" w:w="187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到期不续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949天</w:t>
            </w:r>
          </w:p>
        </w:tc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🟡 中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CUST00000011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青壮·四口之家·大众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医疗险 POL25 🔴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到期不续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553天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🔴 高</w:t>
            </w:r>
          </w:p>
        </w:tc>
      </w:tr>
      <w:tr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CUST00000002</w:t>
            </w:r>
          </w:p>
        </w:tc>
        <w:tc>
          <w:tcPr>
            <w:tcW w:type="dxa" w:w="2304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中老·二人世界·核心</w:t>
            </w:r>
          </w:p>
        </w:tc>
        <w:tc>
          <w:tcPr>
            <w:tcW w:type="dxa" w:w="216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意外险+重疾险</w:t>
            </w:r>
          </w:p>
        </w:tc>
        <w:tc>
          <w:tcPr>
            <w:tcW w:type="dxa" w:w="187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到期不续×2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417/527天</w:t>
            </w:r>
          </w:p>
        </w:tc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🟡 中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CUST00000021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老年·独居·高净值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意外险+医疗险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到期不续+失效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138/200天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🟡 中</w:t>
            </w:r>
          </w:p>
        </w:tc>
      </w:tr>
      <w:tr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CUST00000006</w:t>
            </w:r>
          </w:p>
        </w:tc>
        <w:tc>
          <w:tcPr>
            <w:tcW w:type="dxa" w:w="2304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中青·三代同堂·高净值</w:t>
            </w:r>
          </w:p>
        </w:tc>
        <w:tc>
          <w:tcPr>
            <w:tcW w:type="dxa" w:w="216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重疾险×2</w:t>
            </w:r>
          </w:p>
        </w:tc>
        <w:tc>
          <w:tcPr>
            <w:tcW w:type="dxa" w:w="187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到期不续×2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947/697天</w:t>
            </w:r>
          </w:p>
        </w:tc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🔴 高</w:t>
            </w:r>
          </w:p>
        </w:tc>
      </w:tr>
    </w:tbl>
    <w:p/>
    <w:p>
      <w:pPr>
        <w:pStyle w:val="Heading2"/>
      </w:pPr>
      <w:r>
        <w:t>6.2 流失因果归因——PSM分析结果</w:t>
      </w:r>
    </w:p>
    <w:p>
      <w:pPr/>
      <w:r>
        <w:rPr>
          <w:rFonts w:ascii="Microsoft YaHei" w:hAnsi="Microsoft YaHei" w:eastAsia="Microsoft YaHei"/>
          <w:sz w:val="20"/>
        </w:rPr>
        <w:t>基于PSM（倾向性得分匹配）的因果分析识别出两个具有统计可信度的关键因果因素。以下结果基于200条模拟数据——实际应用前需补齐真实理赔纠纷和交互日志数据重新验证。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16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因素</w:t>
            </w:r>
          </w:p>
        </w:tc>
        <w:tc>
          <w:tcPr>
            <w:tcW w:type="dxa" w:w="1728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PSM ATT</w:t>
            </w:r>
          </w:p>
        </w:tc>
        <w:tc>
          <w:tcPr>
            <w:tcW w:type="dxa" w:w="2304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统计可信度</w:t>
            </w:r>
          </w:p>
        </w:tc>
        <w:tc>
          <w:tcPr>
            <w:tcW w:type="dxa" w:w="144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3888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业务解读</w:t>
            </w:r>
          </w:p>
        </w:tc>
      </w:tr>
      <w:tr>
        <w:tc>
          <w:tcPr>
            <w:tcW w:type="dxa" w:w="216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理赔纠纷次数</w:t>
            </w:r>
          </w:p>
        </w:tc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+0.2143</w:t>
            </w:r>
          </w:p>
        </w:tc>
        <w:tc>
          <w:tcPr>
            <w:tcW w:type="dxa" w:w="2304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⭐⭐⭐ 极高（p&lt;0.001）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🔴 增加流失</w:t>
            </w:r>
          </w:p>
        </w:tc>
        <w:tc>
          <w:tcPr>
            <w:tcW w:type="dxa" w:w="388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每增加一次纠纷，流失概率上升21.4个百分点——理赔体验是流失的第一推手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交互频次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-0.1884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⭐⭐⭐ 极高（p=0.002）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🟢 降低流失</w:t>
            </w:r>
          </w:p>
        </w:tc>
        <w:tc>
          <w:tcPr>
            <w:tcW w:type="dxa" w:w="388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高交互用户流失概率低18.8个百分点——主动服务是最好的留存手段</w:t>
            </w:r>
          </w:p>
        </w:tc>
      </w:tr>
      <w:tr>
        <w:tc>
          <w:tcPr>
            <w:tcW w:type="dxa" w:w="216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保费占收入比</w:t>
            </w:r>
          </w:p>
        </w:tc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+0.0400</w:t>
            </w:r>
          </w:p>
        </w:tc>
        <w:tc>
          <w:tcPr>
            <w:tcW w:type="dxa" w:w="2304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不显著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388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保费负担在控制其他因素后无独立因果效应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保障缺口总分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-0.0300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不显著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388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缺口高→不易流失的假设未获统计支持</w:t>
            </w:r>
          </w:p>
        </w:tc>
      </w:tr>
      <w:tr>
        <w:tc>
          <w:tcPr>
            <w:tcW w:type="dxa" w:w="216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产品切换次数</w:t>
            </w:r>
          </w:p>
        </w:tc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-0.0484</w:t>
            </w:r>
          </w:p>
        </w:tc>
        <w:tc>
          <w:tcPr>
            <w:tcW w:type="dxa" w:w="2304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不显著</w:t>
            </w:r>
          </w:p>
        </w:tc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388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产品切换行为本身不直接导致流失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保单数量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+0.0678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不显著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388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保单多不等于不易流失</w:t>
            </w:r>
          </w:p>
        </w:tc>
      </w:tr>
    </w:tbl>
    <w:p/>
    <w:p>
      <w:pPr>
        <w:jc w:val="left"/>
      </w:pPr>
      <w:r>
        <w:rPr>
          <w:rFonts w:ascii="Microsoft YaHei" w:hAnsi="Microsoft YaHei" w:eastAsia="Microsoft YaHei"/>
          <w:b/>
          <w:color w:val="1A5276"/>
          <w:sz w:val="22"/>
        </w:rPr>
        <w:t>💡 关键发现：理赔纠纷的因果效应独立于保费水平（交互项检验p=0.87）。无论客户保费负担高低，纠纷都会显著推高流失风险。同时，主动交互的保护效应（-18.8%）几乎可以完全对冲一次纠纷带来的流失风险（+21.4%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678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usal_summary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67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7F8C8D"/>
          <w:sz w:val="18"/>
        </w:rPr>
        <w:t>图6：流失归因因果分析综合仪表盘。左上：各因素ATE效应估计及置信区间；右上：DML异质性效应分布；左下：PSM匹配平衡性诊断；右下：特征重要性排序。理赔纠纷和交互频次是最显著的两个因果因素。</w:t>
      </w:r>
    </w:p>
    <w:p/>
    <w:p>
      <w:pPr>
        <w:pStyle w:val="Heading2"/>
      </w:pPr>
      <w:r>
        <w:t>6.3 个体归因与差异化召回策略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728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用户</w:t>
            </w:r>
          </w:p>
        </w:tc>
        <w:tc>
          <w:tcPr>
            <w:tcW w:type="dxa" w:w="216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流失主因</w:t>
            </w:r>
          </w:p>
        </w:tc>
        <w:tc>
          <w:tcPr>
            <w:tcW w:type="dxa" w:w="1872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次因</w:t>
            </w:r>
          </w:p>
        </w:tc>
        <w:tc>
          <w:tcPr>
            <w:tcW w:type="dxa" w:w="2448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召回策略</w:t>
            </w:r>
          </w:p>
        </w:tc>
        <w:tc>
          <w:tcPr>
            <w:tcW w:type="dxa" w:w="1728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渠道</w:t>
            </w:r>
          </w:p>
        </w:tc>
        <w:tc>
          <w:tcPr>
            <w:tcW w:type="dxa" w:w="1152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转化预期</w:t>
            </w:r>
          </w:p>
        </w:tc>
      </w:tr>
      <w:tr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CUST00000028</w:t>
            </w:r>
          </w:p>
        </w:tc>
        <w:tc>
          <w:tcPr>
            <w:tcW w:type="dxa" w:w="216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理赔纠纷型 (84.6%)</w:t>
            </w:r>
          </w:p>
        </w:tc>
        <w:tc>
          <w:tcPr>
            <w:tcW w:type="dxa" w:w="187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价格敏感 (7.0%)</w:t>
            </w:r>
          </w:p>
        </w:tc>
        <w:tc>
          <w:tcPr>
            <w:tcW w:type="dxa" w:w="244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理赔进度同步+专属客服</w:t>
            </w:r>
          </w:p>
        </w:tc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📞 人工电话</w:t>
            </w:r>
          </w:p>
        </w:tc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低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CUST00000011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理赔纠纷型 (41.8%)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遗忘型 (30.0%)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理赔进度同步+专属客服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📞 人工电话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低</w:t>
            </w:r>
          </w:p>
        </w:tc>
      </w:tr>
      <w:tr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CUST00000002</w:t>
            </w:r>
          </w:p>
        </w:tc>
        <w:tc>
          <w:tcPr>
            <w:tcW w:type="dxa" w:w="216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价格敏感型 (53.5%)</w:t>
            </w:r>
          </w:p>
        </w:tc>
        <w:tc>
          <w:tcPr>
            <w:tcW w:type="dxa" w:w="187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需求变化 (16.5%)</w:t>
            </w:r>
          </w:p>
        </w:tc>
        <w:tc>
          <w:tcPr>
            <w:tcW w:type="dxa" w:w="244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优惠券/保费折扣</w:t>
            </w:r>
          </w:p>
        </w:tc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📱 短信+Push</w:t>
            </w:r>
          </w:p>
        </w:tc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CUST00000021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理赔纠纷型 (69.8%)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价格敏感 (11.4%)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理赔进度同步+专属客服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📞 人工电话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低</w:t>
            </w:r>
          </w:p>
        </w:tc>
      </w:tr>
      <w:tr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CUST00000006</w:t>
            </w:r>
          </w:p>
        </w:tc>
        <w:tc>
          <w:tcPr>
            <w:tcW w:type="dxa" w:w="216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价格敏感型 (46.6%)</w:t>
            </w:r>
          </w:p>
        </w:tc>
        <w:tc>
          <w:tcPr>
            <w:tcW w:type="dxa" w:w="187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产品不满 (23.2%)</w:t>
            </w:r>
          </w:p>
        </w:tc>
        <w:tc>
          <w:tcPr>
            <w:tcW w:type="dxa" w:w="244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⭐ 保障缺口再触达</w:t>
            </w:r>
          </w:p>
        </w:tc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📱 微信+短信+Push</w:t>
            </w:r>
          </w:p>
        </w:tc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中高</w:t>
            </w:r>
          </w:p>
        </w:tc>
      </w:tr>
    </w:tbl>
    <w:p/>
    <w:p>
      <w:pPr>
        <w:pStyle w:val="Heading2"/>
      </w:pPr>
      <w:r>
        <w:t>6.4 重点召回策略：CUST00000006 — 缺口再触达</w:t>
      </w:r>
    </w:p>
    <w:p>
      <w:pPr/>
      <w:r>
        <w:rPr>
          <w:rFonts w:ascii="Microsoft YaHei" w:hAnsi="Microsoft YaHei" w:eastAsia="Microsoft YaHei"/>
          <w:sz w:val="20"/>
        </w:rPr>
        <w:t>CUST00000006虽然主因被归为「价格敏感型」（保费占比22.53%），但其保障缺口高达¥458万元（寿险缺口¥425万，医疗缺口¥62万，重疾缺口¥4.3万），缺口严重度足以覆盖价格顾虑。因此，智能体将召回策略从「价格优惠」升级为「缺口再触达」——通过展示缺口数据的紧迫感，说服客户「保障价值远大于保费成本」。</w:t>
      </w:r>
    </w:p>
    <w:p>
      <w:r>
        <w:rPr>
          <w:rFonts w:ascii="Microsoft YaHei" w:hAnsi="Microsoft YaHei" w:eastAsia="Microsoft YaHei"/>
          <w:b/>
          <w:color w:val="856404"/>
          <w:sz w:val="22"/>
        </w:rPr>
        <w:t>📌 CUST00000006 缺口再触达话术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「您的家庭保障缺口高达458万元，其中寿险缺口425万元。作为三代同堂家庭的经济支柱，一旦发生意外，整个家庭将失去经济来源。系统强烈建议立即补足保障。」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联动缺口诊断引擎：提供极简版方案（百万医疗险¥600/年 + 意外险¥300/年），年保费仅¥900，占收入1.5%，大幅降低决策门槛。</w:t>
      </w:r>
    </w:p>
    <w:p/>
    <w:p>
      <w:pPr>
        <w:pStyle w:val="Heading2"/>
      </w:pPr>
      <w:r>
        <w:t>6.5 A/B测试建议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72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测试</w:t>
            </w:r>
          </w:p>
        </w:tc>
        <w:tc>
          <w:tcPr>
            <w:tcW w:type="dxa" w:w="216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样本</w:t>
            </w:r>
          </w:p>
        </w:tc>
        <w:tc>
          <w:tcPr>
            <w:tcW w:type="dxa" w:w="216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组A策略</w:t>
            </w:r>
          </w:p>
        </w:tc>
        <w:tc>
          <w:tcPr>
            <w:tcW w:type="dxa" w:w="216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组B策略</w:t>
            </w:r>
          </w:p>
        </w:tc>
        <w:tc>
          <w:tcPr>
            <w:tcW w:type="dxa" w:w="216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核心指标</w:t>
            </w:r>
          </w:p>
        </w:tc>
      </w:tr>
      <w:tr>
        <w:tc>
          <w:tcPr>
            <w:tcW w:type="dxa" w:w="187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理赔纠纷型</w:t>
            </w:r>
          </w:p>
        </w:tc>
        <w:tc>
          <w:tcPr>
            <w:tcW w:type="dxa" w:w="216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CUST00000028/11/21 (3人)</w:t>
            </w:r>
          </w:p>
        </w:tc>
        <w:tc>
          <w:tcPr>
            <w:tcW w:type="dxa" w:w="216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人工电话跟进</w:t>
            </w:r>
          </w:p>
        </w:tc>
        <w:tc>
          <w:tcPr>
            <w:tcW w:type="dxa" w:w="216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短信+在线理赔同步</w:t>
            </w:r>
          </w:p>
        </w:tc>
        <w:tc>
          <w:tcPr>
            <w:tcW w:type="dxa" w:w="216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7天响应率、14天续保率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价格敏感型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CUST00000002 vs CUST00000006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优惠券/保费折扣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缺口再触达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点击率、转化率、方案采纳率</w:t>
            </w:r>
          </w:p>
        </w:tc>
      </w:tr>
    </w:tbl>
    <w:p/>
    <w:p>
      <w:pPr/>
      <w:r>
        <w:rPr>
          <w:rFonts w:ascii="Microsoft YaHei" w:hAnsi="Microsoft YaHei" w:eastAsia="Microsoft YaHei"/>
          <w:color w:val="C0392B"/>
          <w:sz w:val="18"/>
        </w:rPr>
        <w:t>⚠️ 注意：当前样本量过小（每组仅1-3人），A/B测试仅具方法论示意价值。建议将召回策略推广至更大队列（每组≥30人）后再进行统计检验。</w:t>
      </w:r>
    </w:p>
    <w:p>
      <w:r>
        <w:br w:type="page"/>
      </w:r>
    </w:p>
    <w:p>
      <w:pPr>
        <w:pStyle w:val="Heading1"/>
      </w:pPr>
      <w:r>
        <w:t>七、因果推断核心技术发现</w:t>
      </w:r>
    </w:p>
    <w:p>
      <w:pPr/>
      <w:r>
        <w:rPr>
          <w:rFonts w:ascii="Microsoft YaHei" w:hAnsi="Microsoft YaHei" w:eastAsia="Microsoft YaHei"/>
          <w:sz w:val="22"/>
        </w:rPr>
        <w:t>本次分析运行了两套因果推断模型：(1) 流失归因模型（churn_attribution），使用PSM+DML识别流失的因果驱动因素；(2) 缺口校准模型（gap_calibration），使用DML+PSM识别保障缺口（重疾/寿险/医疗）的核心驱动因素。两套模型均基于200条客户横截面数据。</w:t>
      </w:r>
    </w:p>
    <w:p>
      <w:pPr>
        <w:pStyle w:val="Heading2"/>
      </w:pPr>
      <w:r>
        <w:t>7.1 流失归因因果发现</w:t>
      </w:r>
    </w:p>
    <w:p>
      <w:pPr/>
      <w:r>
        <w:rPr>
          <w:rFonts w:ascii="Microsoft YaHei" w:hAnsi="Microsoft YaHei" w:eastAsia="Microsoft YaHei"/>
          <w:sz w:val="20"/>
        </w:rPr>
        <w:t>以「是否流失」为结果变量，以保费占收入比、理赔纠纷次数、交互频次、保单数量、保障缺口总分、产品切换次数为原因变量，控制年龄、收入水平、家庭结构，使用PSM和DML估计各因素的平均处理效应（ATT/ATE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92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因果变量</w:t>
            </w:r>
          </w:p>
        </w:tc>
        <w:tc>
          <w:tcPr>
            <w:tcW w:type="dxa" w:w="1584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PSM ATT</w:t>
            </w:r>
          </w:p>
        </w:tc>
        <w:tc>
          <w:tcPr>
            <w:tcW w:type="dxa" w:w="1728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DML ATE</w:t>
            </w:r>
          </w:p>
        </w:tc>
        <w:tc>
          <w:tcPr>
            <w:tcW w:type="dxa" w:w="2592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统计可信度</w:t>
            </w:r>
          </w:p>
        </w:tc>
        <w:tc>
          <w:tcPr>
            <w:tcW w:type="dxa" w:w="216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259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理赔纠纷 → 流失</w:t>
            </w:r>
          </w:p>
        </w:tc>
        <w:tc>
          <w:tcPr>
            <w:tcW w:type="dxa" w:w="1584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+0.2143</w:t>
            </w:r>
          </w:p>
        </w:tc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+0.1214</w:t>
            </w:r>
          </w:p>
        </w:tc>
        <w:tc>
          <w:tcPr>
            <w:tcW w:type="dxa" w:w="259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PSM: ⭐⭐⭐ / DML: 不显著</w:t>
            </w:r>
          </w:p>
        </w:tc>
        <w:tc>
          <w:tcPr>
            <w:tcW w:type="dxa" w:w="216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🔴 强因果效应（PSM为主）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交互频次 → 流失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-0.1884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-0.0570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PSM: ⭐⭐⭐ / DML: 不显著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🟢 强保护效应（PSM为主）</w:t>
            </w:r>
          </w:p>
        </w:tc>
      </w:tr>
      <w:tr>
        <w:tc>
          <w:tcPr>
            <w:tcW w:type="dxa" w:w="259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保费占比 → 流失</w:t>
            </w:r>
          </w:p>
        </w:tc>
        <w:tc>
          <w:tcPr>
            <w:tcW w:type="dxa" w:w="1584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+0.0400</w:t>
            </w:r>
          </w:p>
        </w:tc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+4.7522</w:t>
            </w:r>
          </w:p>
        </w:tc>
        <w:tc>
          <w:tcPr>
            <w:tcW w:type="dxa" w:w="259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均不显著</w:t>
            </w:r>
          </w:p>
        </w:tc>
        <w:tc>
          <w:tcPr>
            <w:tcW w:type="dxa" w:w="216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无独立因果效应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产品切换 → 流失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-0.0484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+0.0543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均不显著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无独立因果效应</w:t>
            </w:r>
          </w:p>
        </w:tc>
      </w:tr>
      <w:tr>
        <w:tc>
          <w:tcPr>
            <w:tcW w:type="dxa" w:w="259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保单数量 → 流失</w:t>
            </w:r>
          </w:p>
        </w:tc>
        <w:tc>
          <w:tcPr>
            <w:tcW w:type="dxa" w:w="1584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+0.0678</w:t>
            </w:r>
          </w:p>
        </w:tc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-0.0151</w:t>
            </w:r>
          </w:p>
        </w:tc>
        <w:tc>
          <w:tcPr>
            <w:tcW w:type="dxa" w:w="259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均不显著</w:t>
            </w:r>
          </w:p>
        </w:tc>
        <w:tc>
          <w:tcPr>
            <w:tcW w:type="dxa" w:w="216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无独立因果效应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保障缺口 → 流失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-0.0300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0.0000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均不显著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方向正确但不显著</w:t>
            </w:r>
          </w:p>
        </w:tc>
      </w:tr>
    </w:tbl>
    <w:p/>
    <w:p>
      <w:pPr/>
      <w:r>
        <w:rPr>
          <w:rFonts w:ascii="Microsoft YaHei" w:hAnsi="Microsoft YaHei" w:eastAsia="Microsoft YaHei"/>
          <w:color w:val="7F8C8D"/>
          <w:sz w:val="18"/>
        </w:rPr>
        <w:t>方法论说明：样本量N=200对DML（依赖GradientBoosting）偏小，导致DML检验功效不足。PSM通过二值化和匹配在中小样本下更稳健，因此本次以PSM结果为主要依据。</w:t>
      </w:r>
    </w:p>
    <w:p>
      <w:pPr>
        <w:pStyle w:val="Heading2"/>
      </w:pPr>
      <w:r>
        <w:t>7.2 CATE异质性分析——谁对理赔纠纷最敏感？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72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分群维度</w:t>
            </w:r>
          </w:p>
        </w:tc>
        <w:tc>
          <w:tcPr>
            <w:tcW w:type="dxa" w:w="2592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效应最强群体</w:t>
            </w:r>
          </w:p>
        </w:tc>
        <w:tc>
          <w:tcPr>
            <w:tcW w:type="dxa" w:w="2592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效应最弱群体</w:t>
            </w:r>
          </w:p>
        </w:tc>
        <w:tc>
          <w:tcPr>
            <w:tcW w:type="dxa" w:w="3024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策略含义</w:t>
            </w:r>
          </w:p>
        </w:tc>
      </w:tr>
      <w:tr>
        <w:tc>
          <w:tcPr>
            <w:tcW w:type="dxa" w:w="187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年龄</w:t>
            </w:r>
          </w:p>
        </w:tc>
        <w:tc>
          <w:tcPr>
            <w:tcW w:type="dxa" w:w="259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青年 (&lt;30岁)</w:t>
            </w:r>
          </w:p>
        </w:tc>
        <w:tc>
          <w:tcPr>
            <w:tcW w:type="dxa" w:w="259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老年 (&gt;50岁)</w:t>
            </w:r>
          </w:p>
        </w:tc>
        <w:tc>
          <w:tcPr>
            <w:tcW w:type="dxa" w:w="3024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年轻客户更看重服务体验，理赔纠纷后流失风险最高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收入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中等收入 (5-15万)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低收入 (&lt;5万)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中收入群体是「摇摆用户」，服务好则留、差则走</w:t>
            </w:r>
          </w:p>
        </w:tc>
      </w:tr>
      <w:tr>
        <w:tc>
          <w:tcPr>
            <w:tcW w:type="dxa" w:w="187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家庭结构</w:t>
            </w:r>
          </w:p>
        </w:tc>
        <w:tc>
          <w:tcPr>
            <w:tcW w:type="dxa" w:w="259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单身/二人世界</w:t>
            </w:r>
          </w:p>
        </w:tc>
        <w:tc>
          <w:tcPr>
            <w:tcW w:type="dxa" w:w="259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有孩家庭</w:t>
            </w:r>
          </w:p>
        </w:tc>
        <w:tc>
          <w:tcPr>
            <w:tcW w:type="dxa" w:w="3024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有家庭负担的客户流失成本更高，相对更稳定</w:t>
            </w:r>
          </w:p>
        </w:tc>
      </w:tr>
    </w:tbl>
    <w:p/>
    <w:p>
      <w:pPr>
        <w:jc w:val="left"/>
      </w:pPr>
      <w:r>
        <w:rPr>
          <w:rFonts w:ascii="Microsoft YaHei" w:hAnsi="Microsoft YaHei" w:eastAsia="Microsoft YaHei"/>
          <w:b/>
          <w:color w:val="1A5276"/>
          <w:sz w:val="22"/>
        </w:rPr>
        <w:t>💡 「青年+中收入+单身」用户群对理赔纠纷最敏感——这是高价值但高风险的「摇摆用户」，应投入更多主动服务资源。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7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l_h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7F8C8D"/>
          <w:sz w:val="18"/>
        </w:rPr>
        <w:t>图7：DML异质性处理效应（HTE）分布。不同用户群体对理赔纠纷的敏感度存在差异，青年和中收入群体的效应估计值更高。</w:t>
      </w:r>
    </w:p>
    <w:p/>
    <w:p>
      <w:pPr>
        <w:pStyle w:val="Heading2"/>
      </w:pPr>
      <w:r>
        <w:t>7.3 缺口校准因果发现</w:t>
      </w:r>
    </w:p>
    <w:p>
      <w:pPr/>
      <w:r>
        <w:rPr>
          <w:rFonts w:ascii="Microsoft YaHei" w:hAnsi="Microsoft YaHei" w:eastAsia="Microsoft YaHei"/>
          <w:sz w:val="20"/>
        </w:rPr>
        <w:t>以重疾缺口、寿险缺口、医疗缺口为三个结果变量，以收入、年龄、家庭负担、城市等级为处理变量（控制已有保障持有状态），使用DML和PSM估计各因素对缺口的因果效应。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92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处理变量 → 效应变量</w:t>
            </w:r>
          </w:p>
        </w:tc>
        <w:tc>
          <w:tcPr>
            <w:tcW w:type="dxa" w:w="2304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DML ATE</w:t>
            </w:r>
          </w:p>
        </w:tc>
        <w:tc>
          <w:tcPr>
            <w:tcW w:type="dxa" w:w="2016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PSM ATT</w:t>
            </w:r>
          </w:p>
        </w:tc>
        <w:tc>
          <w:tcPr>
            <w:tcW w:type="dxa" w:w="1872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双方法一致?</w:t>
            </w:r>
          </w:p>
        </w:tc>
        <w:tc>
          <w:tcPr>
            <w:tcW w:type="dxa" w:w="1296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效应强度</w:t>
            </w:r>
          </w:p>
        </w:tc>
      </w:tr>
      <w:tr>
        <w:tc>
          <w:tcPr>
            <w:tcW w:type="dxa" w:w="259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收入 → 重疾缺口</w:t>
            </w:r>
          </w:p>
        </w:tc>
        <w:tc>
          <w:tcPr>
            <w:tcW w:type="dxa" w:w="2304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4.05/元 (p≈0)</w:t>
            </w:r>
          </w:p>
        </w:tc>
        <w:tc>
          <w:tcPr>
            <w:tcW w:type="dxa" w:w="2016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483,418 (p≈0)</w:t>
            </w:r>
          </w:p>
        </w:tc>
        <w:tc>
          <w:tcPr>
            <w:tcW w:type="dxa" w:w="187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✅ 双方法一致显著</w:t>
            </w:r>
          </w:p>
        </w:tc>
        <w:tc>
          <w:tcPr>
            <w:tcW w:type="dxa" w:w="1296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🔴 极强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家庭负担 → 寿险缺口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107,687/单位 (p≈0)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683,838 (p≈0)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✅ 双方法一致显著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🔴 极强</w:t>
            </w:r>
          </w:p>
        </w:tc>
      </w:tr>
      <w:tr>
        <w:tc>
          <w:tcPr>
            <w:tcW w:type="dxa" w:w="259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城市等级 → 寿险缺口</w:t>
            </w:r>
          </w:p>
        </w:tc>
        <w:tc>
          <w:tcPr>
            <w:tcW w:type="dxa" w:w="2304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248,109/级 (p=0.0002)</w:t>
            </w:r>
          </w:p>
        </w:tc>
        <w:tc>
          <w:tcPr>
            <w:tcW w:type="dxa" w:w="2016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450,602 (p≈0)</w:t>
            </w:r>
          </w:p>
        </w:tc>
        <w:tc>
          <w:tcPr>
            <w:tcW w:type="dxa" w:w="187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✅ 双方法一致显著</w:t>
            </w:r>
          </w:p>
        </w:tc>
        <w:tc>
          <w:tcPr>
            <w:tcW w:type="dxa" w:w="1296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🔴 极强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城市等级 → 医疗缺口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24,894/级 (p=0.0005)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44,493 (p=0.0008)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✅ 双方法一致显著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🟡 强</w:t>
            </w:r>
          </w:p>
        </w:tc>
      </w:tr>
      <w:tr>
        <w:tc>
          <w:tcPr>
            <w:tcW w:type="dxa" w:w="259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家庭负担 → 重疾缺口</w:t>
            </w:r>
          </w:p>
        </w:tc>
        <w:tc>
          <w:tcPr>
            <w:tcW w:type="dxa" w:w="2304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16,555 (p=0.051)</w:t>
            </w:r>
          </w:p>
        </w:tc>
        <w:tc>
          <w:tcPr>
            <w:tcW w:type="dxa" w:w="2016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194,956 (p=0.001)</w:t>
            </w:r>
          </w:p>
        </w:tc>
        <w:tc>
          <w:tcPr>
            <w:tcW w:type="dxa" w:w="187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⚠️ 部分一致</w:t>
            </w:r>
          </w:p>
        </w:tc>
        <w:tc>
          <w:tcPr>
            <w:tcW w:type="dxa" w:w="1296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🟢 中等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年龄 → 寿险缺口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-7,400 (p=0.148)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-275,000 (p=0.003)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⚠️ 部分一致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🟢 中等</w:t>
            </w:r>
          </w:p>
        </w:tc>
      </w:tr>
    </w:tbl>
    <w:p/>
    <w:p>
      <w:pPr/>
      <w:r>
        <w:rPr>
          <w:rFonts w:ascii="Microsoft YaHei" w:hAnsi="Microsoft YaHei" w:eastAsia="Microsoft YaHei"/>
          <w:b/>
          <w:sz w:val="22"/>
        </w:rPr>
        <w:t>全局特征重要性排名（跨所有因果对聚合）：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64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排名</w:t>
            </w:r>
          </w:p>
        </w:tc>
        <w:tc>
          <w:tcPr>
            <w:tcW w:type="dxa" w:w="3168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因果对</w:t>
            </w:r>
          </w:p>
        </w:tc>
        <w:tc>
          <w:tcPr>
            <w:tcW w:type="dxa" w:w="2592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DML ATE大小</w:t>
            </w:r>
          </w:p>
        </w:tc>
        <w:tc>
          <w:tcPr>
            <w:tcW w:type="dxa" w:w="3456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业务含义</w:t>
            </w:r>
          </w:p>
        </w:tc>
      </w:tr>
      <w:tr>
        <w:tc>
          <w:tcPr>
            <w:tcW w:type="dxa" w:w="864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316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城市等级 → 寿险缺口</w:t>
            </w:r>
          </w:p>
        </w:tc>
        <w:tc>
          <w:tcPr>
            <w:tcW w:type="dxa" w:w="259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248,109元/级</w:t>
            </w:r>
          </w:p>
        </w:tc>
        <w:tc>
          <w:tcPr>
            <w:tcW w:type="dxa" w:w="3456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一线城市寿险需求是二线的1.5倍、三线的2倍+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家庭负担 → 寿险缺口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107,687元/单位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每多一个抚养对象，寿险需求+10.8万</w:t>
            </w:r>
          </w:p>
        </w:tc>
      </w:tr>
      <w:tr>
        <w:tc>
          <w:tcPr>
            <w:tcW w:type="dxa" w:w="864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316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城市等级 → 医疗缺口</w:t>
            </w:r>
          </w:p>
        </w:tc>
        <w:tc>
          <w:tcPr>
            <w:tcW w:type="dxa" w:w="259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24,894元/级</w:t>
            </w:r>
          </w:p>
        </w:tc>
        <w:tc>
          <w:tcPr>
            <w:tcW w:type="dxa" w:w="3456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一线城市医疗自费比三线高7.5万（3级差）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收入 → 重疾缺口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4.05元/元收入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年收入每多1万，重疾保额需多4万</w:t>
            </w:r>
          </w:p>
        </w:tc>
      </w:tr>
    </w:tbl>
    <w:p/>
    <w:p>
      <w:pPr>
        <w:pStyle w:val="Heading2"/>
      </w:pPr>
      <w:r>
        <w:t>7.4 数据局限说明</w:t>
      </w:r>
    </w:p>
    <w:p>
      <w:r>
        <w:rPr>
          <w:rFonts w:ascii="Microsoft YaHei" w:hAnsi="Microsoft YaHei" w:eastAsia="Microsoft YaHei"/>
          <w:b/>
          <w:color w:val="856404"/>
          <w:sz w:val="22"/>
        </w:rPr>
        <w:t>📌 ⚠️ 重要局限（请阅读后再使用分析结论）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流失归因模型使用模拟数据——真实数据缺失 churned、claim_disputes、interaction_count 等关键字段，当前ATT数值仅供方法验证，不可直接用于业务决策。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样本量N=200限制了DML的检验功效和CATE子群分析的可靠性，建议收集更大样本（N≥1000）后重新运行。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PSM依赖「可观测假设」——如果存在未观测的混淆因素（如客户满意度、代理人质量），估计可能有偏。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缺口校准模型数据质量较好（200条真实画像+缺口数据），三大核心因果对（收入→重疾/负担→寿险/城市→医疗）在DML和PSM间高度一致，可信度较高。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建议：补齐真实理赔纠纷和交互日志数据后，重新运行 run_causal_analysis 更新全部分析参数。</w:t>
      </w:r>
    </w:p>
    <w:p/>
    <w:p>
      <w:r>
        <w:br w:type="page"/>
      </w:r>
    </w:p>
    <w:p>
      <w:pPr>
        <w:pStyle w:val="Heading1"/>
      </w:pPr>
      <w:r>
        <w:t>八、综合管理建议与行动路线图</w:t>
      </w:r>
    </w:p>
    <w:p>
      <w:pPr/>
      <w:r>
        <w:rPr>
          <w:rFonts w:ascii="Microsoft YaHei" w:hAnsi="Microsoft YaHei" w:eastAsia="Microsoft YaHei"/>
          <w:sz w:val="22"/>
        </w:rPr>
        <w:t>基于以上全部分析发现——从全量画像到个体缺口诊断，从保单状态到流失归因——本章提出五项按优先级排序的管理建议，并给出具体的行动路线图。</w:t>
      </w:r>
    </w:p>
    <w:p>
      <w:pPr>
        <w:pStyle w:val="Heading2"/>
      </w:pPr>
      <w:r>
        <w:t>8.1 优先级排序的管理建议</w:t>
      </w:r>
    </w:p>
    <w:p>
      <w:pPr>
        <w:pStyle w:val="Heading3"/>
      </w:pPr>
      <w:r>
        <w:t>⭐ 建议一：立即启动「保障缺口触达」专项（优先级：最高）</w:t>
      </w:r>
    </w:p>
    <w:p>
      <w:pPr/>
      <w:r>
        <w:rPr>
          <w:rFonts w:ascii="Microsoft YaHei" w:hAnsi="Microsoft YaHei" w:eastAsia="Microsoft YaHei"/>
          <w:sz w:val="20"/>
        </w:rPr>
        <w:t>证据链：全量客户中医疗险渗透率仅33.9%，重疾险31.7%，寿险20.2%。6户代表性样本合计缺口超1,500万元。缺口诊断引擎已为每户生成三档方案，极简方案年保费低至¥650（占收入1.1%），决策门槛极低。</w:t>
      </w:r>
    </w:p>
    <w:p>
      <w:pPr/>
      <w:r>
        <w:rPr>
          <w:rFonts w:ascii="Microsoft YaHei" w:hAnsi="Microsoft YaHei" w:eastAsia="Microsoft YaHei"/>
          <w:b/>
          <w:sz w:val="20"/>
        </w:rPr>
        <w:t>行动建议：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第一阶段（1-2周）：将缺口诊断能力推广至全量5,000客户，按缺口严重度（寿险&gt;重疾&gt;医疗）× 客户价值（高净值&gt;核心&gt;大众）生成触达优先级排序。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第二阶段（3-4周）：对TOP 500高缺口高价值客户，通过微信+短信推送个性化缺口报告（附三档方案），引导至专属顾问。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第三阶段（5-8周）：追踪方案采纳率和转化率，迭代缺口测算模型和推荐算法。</w:t>
      </w:r>
    </w:p>
    <w:p>
      <w:pPr>
        <w:pStyle w:val="Heading3"/>
      </w:pPr>
      <w:r>
        <w:t>⭐ 建议二：优化理赔体验，降低「纠纷驱动型」流失（优先级：最高）</w:t>
      </w:r>
    </w:p>
    <w:p>
      <w:pPr/>
      <w:r>
        <w:rPr>
          <w:rFonts w:ascii="Microsoft YaHei" w:hAnsi="Microsoft YaHei" w:eastAsia="Microsoft YaHei"/>
          <w:sz w:val="20"/>
        </w:rPr>
        <w:t>证据链：理赔纠纷是流失的第一因果推手（ATT=+0.2143, p&lt;0.001），效应独立于保费水平。CUST00000028的3笔理赔累计¥16.7万（含1笔处理中的家财险），如处理不当极可能流失。青年+中收入+单身群体对纠纷最敏感。</w:t>
      </w:r>
    </w:p>
    <w:p>
      <w:pPr/>
      <w:r>
        <w:rPr>
          <w:rFonts w:ascii="Microsoft YaHei" w:hAnsi="Microsoft YaHei" w:eastAsia="Microsoft YaHei"/>
          <w:b/>
          <w:sz w:val="20"/>
        </w:rPr>
        <w:t>行动建议：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建立理赔SLA（服务等级协议）：小额理赔（&lt;¥5,000）24小时内结案，大额理赔72小时内给出明确方案。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对有理赔在途的客户（如CUST00000028的家财险理赔中），指定专属客服主动同步理赔进度，消除信息不对称。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针对青年+中收入+单身群体，试点「理赔先行赔付」机制——先赔付再审核，用服务体验锁定摇摆用户。</w:t>
      </w:r>
    </w:p>
    <w:p>
      <w:pPr>
        <w:pStyle w:val="Heading3"/>
      </w:pPr>
      <w:r>
        <w:t>⭐ 建议三：建立主动交互机制，激活「交互保护效应」（优先级：高）</w:t>
      </w:r>
    </w:p>
    <w:p>
      <w:pPr/>
      <w:r>
        <w:rPr>
          <w:rFonts w:ascii="Microsoft YaHei" w:hAnsi="Microsoft YaHei" w:eastAsia="Microsoft YaHei"/>
          <w:sz w:val="20"/>
        </w:rPr>
        <w:t>证据链：高交互频次用户的流失概率低18.8个百分点（ATT=-0.1884, p=0.002），其保护效应几乎可以完全对冲一次理赔纠纷的影响。当前行为数据中多数客户activity_tier为「lost」——说明主动触达严重不足。</w:t>
      </w:r>
    </w:p>
    <w:p>
      <w:pPr/>
      <w:r>
        <w:rPr>
          <w:rFonts w:ascii="Microsoft YaHei" w:hAnsi="Microsoft YaHei" w:eastAsia="Microsoft YaHei"/>
          <w:b/>
          <w:sz w:val="20"/>
        </w:rPr>
        <w:t>行动建议：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设计「3-6-12」触达节奏：每3个月一次保障检视提醒，每6个月一次保单周年回顾，每12个月一次全面家庭保障诊断。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对沉睡客户（activity_tier=lost）启动「唤醒计划」：首轮缺口触达 → 二轮优惠/福利 → 三轮人工电话。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引入行为积分/权益体系，激励客户主动互动（如完成保障测评、参加健康打卡获取保费折扣）。</w:t>
      </w:r>
    </w:p>
    <w:p>
      <w:pPr>
        <w:pStyle w:val="Heading3"/>
      </w:pPr>
      <w:r>
        <w:t>建议四：推动「寿险觉醒」专项，填补最大保障黑洞（优先级：高）</w:t>
      </w:r>
    </w:p>
    <w:p>
      <w:pPr/>
      <w:r>
        <w:rPr>
          <w:rFonts w:ascii="Microsoft YaHei" w:hAnsi="Microsoft YaHei" w:eastAsia="Microsoft YaHei"/>
          <w:sz w:val="20"/>
        </w:rPr>
        <w:t>证据链：寿险渗透率仅20.2%，是渗透率最低的基础险种。因果分析表明，家庭负担和城市等级是寿险缺口的双重核心驱动——一线城市+有孩/多代家庭的寿险需求最为刚性。CUST00000006（三代同堂）寿险缺口340万，CUST00000028（三口之家）缺口319万，CUST00000011（四口之家）缺口229万。</w:t>
      </w:r>
    </w:p>
    <w:p>
      <w:pPr/>
      <w:r>
        <w:rPr>
          <w:rFonts w:ascii="Microsoft YaHei" w:hAnsi="Microsoft YaHei" w:eastAsia="Microsoft YaHei"/>
          <w:b/>
          <w:sz w:val="20"/>
        </w:rPr>
        <w:t>行动建议：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目标客群：一线/新一线城市 + 有子女/赡养老人负担 + 年龄30-50岁（家庭经济支柱期）——保守估计全量中约2,000-2,500人。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产品策略：主打定期寿险（低保费高杠杆），300万保额年保费约¥2,000-4,500，契合价格敏感型客户。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营销话术：从「卖产品」转向「算缺口」——「您的寿险缺口为XXX万元，意味着万一发生意外，您的家人将面临XXX万元的经济缺口。」</w:t>
      </w:r>
    </w:p>
    <w:p>
      <w:pPr>
        <w:pStyle w:val="Heading3"/>
      </w:pPr>
      <w:r>
        <w:t>建议五：补齐数据基建，迭代因果模型（优先级：中）</w:t>
      </w:r>
    </w:p>
    <w:p>
      <w:pPr/>
      <w:r>
        <w:rPr>
          <w:rFonts w:ascii="Microsoft YaHei" w:hAnsi="Microsoft YaHei" w:eastAsia="Microsoft YaHei"/>
          <w:sz w:val="20"/>
        </w:rPr>
        <w:t>证据链：当前流失归因模型因缺少真实 churned/claim_disputes/interaction_count 数据而依赖模拟。行为日志最新时间戳早于参考日期，导致activity_tier大面积标注为lost——可能影响画像和行为分析的准确性。</w:t>
      </w:r>
    </w:p>
    <w:p>
      <w:pPr/>
      <w:r>
        <w:rPr>
          <w:rFonts w:ascii="Microsoft YaHei" w:hAnsi="Microsoft YaHei" w:eastAsia="Microsoft YaHei"/>
          <w:b/>
          <w:sz w:val="20"/>
        </w:rPr>
        <w:t>行动建议：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数据补全：从交易流水、理赔记录、互动日志中提取真实的流失标签、理赔纠纷次数、交互频次和产品切换数据。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实时化：接入实时埋点数据替代历史快照，让画像和activity_tier反映客户最新状态。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模型迭代：数据补全后重新运行run_causal_analysis更新ATE参数 → 刷新缺口校准系数 → 更新召回策略队列级参数。</w:t>
      </w:r>
    </w:p>
    <w:p>
      <w:pPr>
        <w:pStyle w:val="Heading2"/>
      </w:pPr>
      <w:r>
        <w:t>8.2 行动路线图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4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008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360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行动项</w:t>
            </w:r>
          </w:p>
        </w:tc>
        <w:tc>
          <w:tcPr>
            <w:tcW w:type="dxa" w:w="216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负责方</w:t>
            </w:r>
          </w:p>
        </w:tc>
        <w:tc>
          <w:tcPr>
            <w:tcW w:type="dxa" w:w="1872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预期产出</w:t>
            </w:r>
          </w:p>
        </w:tc>
      </w:tr>
      <w:tr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第1-2周</w:t>
            </w:r>
          </w:p>
        </w:tc>
        <w:tc>
          <w:tcPr>
            <w:tcW w:type="dxa" w:w="100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🔴 P0</w:t>
            </w:r>
          </w:p>
        </w:tc>
        <w:tc>
          <w:tcPr>
            <w:tcW w:type="dxa" w:w="360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推广缺口诊断至全量5,000客户</w:t>
            </w:r>
          </w:p>
        </w:tc>
        <w:tc>
          <w:tcPr>
            <w:tcW w:type="dxa" w:w="216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缺口诊断引擎 + 画像建模</w:t>
            </w:r>
          </w:p>
        </w:tc>
        <w:tc>
          <w:tcPr>
            <w:tcW w:type="dxa" w:w="187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全量缺口排序清单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第1-2周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🔴 P0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启动TOP 500高缺口客户触达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流失召回 + 缺口诊断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首批触达报告+转化数据</w:t>
            </w:r>
          </w:p>
        </w:tc>
      </w:tr>
      <w:tr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第3-4周</w:t>
            </w:r>
          </w:p>
        </w:tc>
        <w:tc>
          <w:tcPr>
            <w:tcW w:type="dxa" w:w="100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🔴 P0</w:t>
            </w:r>
          </w:p>
        </w:tc>
        <w:tc>
          <w:tcPr>
            <w:tcW w:type="dxa" w:w="360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建立理赔SLA并试点先行赔付</w:t>
            </w:r>
          </w:p>
        </w:tc>
        <w:tc>
          <w:tcPr>
            <w:tcW w:type="dxa" w:w="216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理赔部门 + 客服</w:t>
            </w:r>
          </w:p>
        </w:tc>
        <w:tc>
          <w:tcPr>
            <w:tcW w:type="dxa" w:w="187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SLA文档+试点效果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第3-4周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🟡 P1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设计「3-6-12」主动触达机制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客户运营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触达日历+内容模板</w:t>
            </w:r>
          </w:p>
        </w:tc>
      </w:tr>
      <w:tr>
        <w:tc>
          <w:tcPr>
            <w:tcW w:type="dxa" w:w="144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第5-8周</w:t>
            </w:r>
          </w:p>
        </w:tc>
        <w:tc>
          <w:tcPr>
            <w:tcW w:type="dxa" w:w="100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🟡 P1</w:t>
            </w:r>
          </w:p>
        </w:tc>
        <w:tc>
          <w:tcPr>
            <w:tcW w:type="dxa" w:w="360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推动寿险觉醒专项</w:t>
            </w:r>
          </w:p>
        </w:tc>
        <w:tc>
          <w:tcPr>
            <w:tcW w:type="dxa" w:w="216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产品+营销</w:t>
            </w:r>
          </w:p>
        </w:tc>
        <w:tc>
          <w:tcPr>
            <w:tcW w:type="dxa" w:w="187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寿险转化率提升数据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持续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🟢 P2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补齐数据基建+迭代因果模型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数据工程+AI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更新后的ATE参数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附录：数据说明与方法局限</w:t>
      </w:r>
    </w:p>
    <w:p>
      <w:pPr>
        <w:pStyle w:val="Heading2"/>
      </w:pPr>
      <w:r>
        <w:t>A.1 数据来源与范围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92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数据源</w:t>
            </w:r>
          </w:p>
        </w:tc>
        <w:tc>
          <w:tcPr>
            <w:tcW w:type="dxa" w:w="1728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规模</w:t>
            </w:r>
          </w:p>
        </w:tc>
        <w:tc>
          <w:tcPr>
            <w:tcW w:type="dxa" w:w="1728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时间范围</w:t>
            </w:r>
          </w:p>
        </w:tc>
        <w:tc>
          <w:tcPr>
            <w:tcW w:type="dxa" w:w="4032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59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客户画像表</w:t>
            </w:r>
          </w:p>
        </w:tc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5,000行×31列</w:t>
            </w:r>
          </w:p>
        </w:tc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截至2026年5月</w:t>
            </w:r>
          </w:p>
        </w:tc>
        <w:tc>
          <w:tcPr>
            <w:tcW w:type="dxa" w:w="403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含人口统计、收入、家庭结构等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保单主表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10,000行×22列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截至2026年5月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含保单状态、保额、保费等</w:t>
            </w:r>
          </w:p>
        </w:tc>
      </w:tr>
      <w:tr>
        <w:tc>
          <w:tcPr>
            <w:tcW w:type="dxa" w:w="259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客户保障概况表</w:t>
            </w:r>
          </w:p>
        </w:tc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5,000行×25列</w:t>
            </w:r>
          </w:p>
        </w:tc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截至2026年5月</w:t>
            </w:r>
          </w:p>
        </w:tc>
        <w:tc>
          <w:tcPr>
            <w:tcW w:type="dxa" w:w="403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含社保类型、已有商保覆盖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生命周期事件日志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50,014行×15列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历史快照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含缴费记录50,000条+事件14条</w:t>
            </w:r>
          </w:p>
        </w:tc>
      </w:tr>
      <w:tr>
        <w:tc>
          <w:tcPr>
            <w:tcW w:type="dxa" w:w="259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缴费记录表</w:t>
            </w:r>
          </w:p>
        </w:tc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50,000行×14列</w:t>
            </w:r>
          </w:p>
        </w:tc>
        <w:tc>
          <w:tcPr>
            <w:tcW w:type="dxa" w:w="1728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历史快照</w:t>
            </w:r>
          </w:p>
        </w:tc>
        <w:tc>
          <w:tcPr>
            <w:tcW w:type="dxa" w:w="403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最新时间戳早于参考日期2026年</w:t>
            </w:r>
          </w:p>
        </w:tc>
      </w:tr>
    </w:tbl>
    <w:p/>
    <w:p>
      <w:pPr>
        <w:pStyle w:val="Heading2"/>
      </w:pPr>
      <w:r>
        <w:t>A.2 因果分析方法说明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52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16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全称</w:t>
            </w:r>
          </w:p>
        </w:tc>
        <w:tc>
          <w:tcPr>
            <w:tcW w:type="dxa" w:w="2592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适用场景</w:t>
            </w:r>
          </w:p>
        </w:tc>
        <w:tc>
          <w:tcPr>
            <w:tcW w:type="dxa" w:w="288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本次应用</w:t>
            </w:r>
          </w:p>
        </w:tc>
        <w:tc>
          <w:tcPr>
            <w:tcW w:type="dxa" w:w="2160"/>
            <w:shd w:fill="1A527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局限</w:t>
            </w:r>
          </w:p>
        </w:tc>
      </w:tr>
      <w:tr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DML</w:t>
            </w:r>
          </w:p>
        </w:tc>
        <w:tc>
          <w:tcPr>
            <w:tcW w:type="dxa" w:w="216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双机器学习</w:t>
              <w:br/>
              <w:t>(Double ML)</w:t>
            </w:r>
          </w:p>
        </w:tc>
        <w:tc>
          <w:tcPr>
            <w:tcW w:type="dxa" w:w="259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大样本、多混杂、需要灵活函数形式</w:t>
            </w:r>
          </w:p>
        </w:tc>
        <w:tc>
          <w:tcPr>
            <w:tcW w:type="dxa" w:w="288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缺口校准（N=200）+ 流失归因（N=200）</w:t>
            </w:r>
          </w:p>
        </w:tc>
        <w:tc>
          <w:tcPr>
            <w:tcW w:type="dxa" w:w="216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N=200偏小，检验功效不足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PSM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倾向性得分匹配</w:t>
              <w:br/>
              <w:t>(Propensity Score)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中小样本、二值处理变量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流失归因（连续变量二值化）+ 缺口校准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依赖可观测假设；二值化损失信息</w:t>
            </w:r>
          </w:p>
        </w:tc>
      </w:tr>
      <w:tr>
        <w:tc>
          <w:tcPr>
            <w:tcW w:type="dxa" w:w="115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CATE</w:t>
            </w:r>
          </w:p>
        </w:tc>
        <w:tc>
          <w:tcPr>
            <w:tcW w:type="dxa" w:w="216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条件平均处理效应</w:t>
              <w:br/>
              <w:t>(CausalForestDML)</w:t>
            </w:r>
          </w:p>
        </w:tc>
        <w:tc>
          <w:tcPr>
            <w:tcW w:type="dxa" w:w="2592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异质性分析、分群策略</w:t>
            </w:r>
          </w:p>
        </w:tc>
        <w:tc>
          <w:tcPr>
            <w:tcW w:type="dxa" w:w="288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流失归因的纠纷效应异质性 + 缺口校准</w:t>
            </w:r>
          </w:p>
        </w:tc>
        <w:tc>
          <w:tcPr>
            <w:tcW w:type="dxa" w:w="2160"/>
            <w:shd w:fill="EBF5F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0"/>
              </w:rPr>
              <w:t>N=200限制子群分析可靠性</w:t>
            </w:r>
          </w:p>
        </w:tc>
      </w:tr>
    </w:tbl>
    <w:p/>
    <w:p>
      <w:pPr>
        <w:pStyle w:val="Heading2"/>
      </w:pPr>
      <w:r>
        <w:t>A.3 关键局限与后续迭代方向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流失归因模型使用模拟数据——ATT数值仅供方法验证，不可直接用于业务决策。需补齐真实数据后重新运行。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行为日志为历史快照（时间戳早于2026年），导致activity_tier标注可能不准确。建议接入实时埋点数据。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样本量限制：N=200对DML和CATE分析偏小。全量5,000客户画像数据中仅200条被用于因果分析——建议逐步扩大至全量。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代表性样本仅6户——虽然覆盖了核心画像类型（单身、二人世界、三口/四口之家、三代同堂、独居老人），但统计代表性有限。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未观测混淆：可能遗漏关键变量如客户满意度、代理人服务质量、竞品动态等。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PSM依赖可观测假设——如果存在未观测的混淆因素，估计可能有偏。建议后续通过工具变量或断点回归设计补充验证。</w:t>
      </w:r>
    </w:p>
    <w:p>
      <w:pPr>
        <w:pStyle w:val="Heading2"/>
      </w:pPr>
      <w:r>
        <w:t>A.4 智能体系统迭代建议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画像建模：接入实时行为数据（App埋点、小程序浏览、客服对话），更新behavior_tags和activity_tier。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保单编排：前移到期预警窗口至60天，增加续保提醒和自动续保选项，减少「遗忘型」流失。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缺口诊断：将因果校准参数（ATE）与客户实际转化数据形成闭环，持续优化校准系数。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流失召回：建立召回效果反馈机制——追踪召回策略的点击率、响应率、转化率，将结果反馈至因果模型。</w:t>
      </w:r>
    </w:p>
    <w:p/>
    <w:p>
      <w:pPr>
        <w:jc w:val="right"/>
      </w:pPr>
      <w:r>
        <w:rPr>
          <w:rFonts w:ascii="Microsoft YaHei" w:hAnsi="Microsoft YaHei" w:eastAsia="Microsoft YaHei"/>
          <w:color w:val="95A5A6"/>
          <w:sz w:val="16"/>
        </w:rPr>
        <w:t>报告生成时间: 2026-05-25 13:16:17  |  由个人非车险智能体系统自动生成  |  密级：内部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27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71A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86C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6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34495E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