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778.0" w:type="dxa"/>
        <w:jc w:val="left"/>
        <w:tblInd w:w="0.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12" w:val="single"/>
        </w:tblBorders>
        <w:tblLayout w:type="fixed"/>
        <w:tblLook w:val="0000"/>
      </w:tblPr>
      <w:tblGrid>
        <w:gridCol w:w="9778"/>
        <w:tblGridChange w:id="0">
          <w:tblGrid>
            <w:gridCol w:w="9778"/>
          </w:tblGrid>
        </w:tblGridChange>
      </w:tblGrid>
      <w:tr>
        <w:trPr>
          <w:trHeight w:val="405" w:hRule="atLeast"/>
        </w:trPr>
        <w:tc>
          <w:tcPr>
            <w:vAlign w:val="top"/>
          </w:tcPr>
          <w:p w:rsidR="00000000" w:rsidDel="00000000" w:rsidP="00000000" w:rsidRDefault="00000000" w:rsidRPr="00000000" w14:paraId="00000002">
            <w:pPr>
              <w:keepNext w:val="1"/>
              <w:spacing w:before="12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Caso d’Uso: Visualizzare l’interfaccia per la visualizzazione dei meeting</w:t>
            </w:r>
          </w:p>
        </w:tc>
      </w:tr>
      <w:tr>
        <w:trPr>
          <w:trHeight w:val="276" w:hRule="atLeast"/>
        </w:trPr>
        <w:tc>
          <w:tcPr>
            <w:vAlign w:val="top"/>
          </w:tcPr>
          <w:p w:rsidR="00000000" w:rsidDel="00000000" w:rsidP="00000000" w:rsidRDefault="00000000" w:rsidRPr="00000000" w14:paraId="00000003">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ID</w:t>
            </w:r>
            <w:r w:rsidDel="00000000" w:rsidR="00000000" w:rsidRPr="00000000">
              <w:rPr>
                <w:rFonts w:ascii="Times New Roman" w:cs="Times New Roman" w:eastAsia="Times New Roman" w:hAnsi="Times New Roman"/>
                <w:sz w:val="24"/>
                <w:szCs w:val="24"/>
                <w:rtl w:val="0"/>
              </w:rPr>
              <w:t xml:space="preserve">: CU_9_VisualizzaMeeting</w:t>
            </w:r>
          </w:p>
        </w:tc>
      </w:tr>
      <w:tr>
        <w:trPr>
          <w:trHeight w:val="715" w:hRule="atLeast"/>
        </w:trPr>
        <w:tc>
          <w:tcPr>
            <w:vAlign w:val="top"/>
          </w:tcPr>
          <w:p w:rsidR="00000000" w:rsidDel="00000000" w:rsidP="00000000" w:rsidRDefault="00000000" w:rsidRPr="00000000" w14:paraId="00000004">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Attori:</w:t>
            </w:r>
            <w:r w:rsidDel="00000000" w:rsidR="00000000" w:rsidRPr="00000000">
              <w:rPr>
                <w:rtl w:val="0"/>
              </w:rPr>
            </w:r>
          </w:p>
          <w:p w:rsidR="00000000" w:rsidDel="00000000" w:rsidP="00000000" w:rsidRDefault="00000000" w:rsidRPr="00000000" w14:paraId="00000005">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Amministratore</w:t>
            </w:r>
          </w:p>
        </w:tc>
      </w:tr>
      <w:tr>
        <w:tc>
          <w:tcPr>
            <w:vAlign w:val="top"/>
          </w:tcPr>
          <w:p w:rsidR="00000000" w:rsidDel="00000000" w:rsidP="00000000" w:rsidRDefault="00000000" w:rsidRPr="00000000" w14:paraId="00000006">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Precondizioni:</w:t>
            </w:r>
            <w:r w:rsidDel="00000000" w:rsidR="00000000" w:rsidRPr="00000000">
              <w:rPr>
                <w:rtl w:val="0"/>
              </w:rPr>
            </w:r>
          </w:p>
          <w:p w:rsidR="00000000" w:rsidDel="00000000" w:rsidP="00000000" w:rsidRDefault="00000000" w:rsidRPr="00000000" w14:paraId="00000007">
            <w:pPr>
              <w:numPr>
                <w:ilvl w:val="0"/>
                <w:numId w:val="2"/>
              </w:numPr>
              <w:spacing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deve aver selezionato il bottone “Visualizza meeting” dall’interfaccia “Visualizza”.</w:t>
            </w:r>
          </w:p>
        </w:tc>
      </w:tr>
      <w:tr>
        <w:tc>
          <w:tcPr>
            <w:vAlign w:val="top"/>
          </w:tcPr>
          <w:p w:rsidR="00000000" w:rsidDel="00000000" w:rsidP="00000000" w:rsidRDefault="00000000" w:rsidRPr="00000000" w14:paraId="00000008">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Sequenza eventi:</w:t>
            </w:r>
            <w:r w:rsidDel="00000000" w:rsidR="00000000" w:rsidRPr="00000000">
              <w:rPr>
                <w:rtl w:val="0"/>
              </w:rPr>
            </w:r>
          </w:p>
          <w:p w:rsidR="00000000" w:rsidDel="00000000" w:rsidP="00000000" w:rsidRDefault="00000000" w:rsidRPr="00000000" w14:paraId="00000009">
            <w:pPr>
              <w:numPr>
                <w:ilvl w:val="0"/>
                <w:numId w:val="1"/>
              </w:numPr>
              <w:spacing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caso d’uso inizia quando l’amministratore preme il bottone “Visualizza meeting” dall’interfaccia “Visualizza”.</w:t>
            </w:r>
          </w:p>
          <w:p w:rsidR="00000000" w:rsidDel="00000000" w:rsidP="00000000" w:rsidRDefault="00000000" w:rsidRPr="00000000" w14:paraId="0000000A">
            <w:pPr>
              <w:numPr>
                <w:ilvl w:val="0"/>
                <w:numId w:val="1"/>
              </w:numPr>
              <w:spacing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 sistema visualizza la pagina Web contenente una text area in cui sarà presente l’elenco relativo ai meeting, visualizzati in dall’orario in poi che verrà inserito dall’amministratore nel campo presente sopra alla text area.</w:t>
            </w:r>
          </w:p>
        </w:tc>
      </w:tr>
      <w:tr>
        <w:tc>
          <w:tcPr>
            <w:vAlign w:val="top"/>
          </w:tcPr>
          <w:p w:rsidR="00000000" w:rsidDel="00000000" w:rsidP="00000000" w:rsidRDefault="00000000" w:rsidRPr="00000000" w14:paraId="0000000B">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Sequenze alternative:</w:t>
            </w:r>
            <w:r w:rsidDel="00000000" w:rsidR="00000000" w:rsidRPr="00000000">
              <w:rPr>
                <w:rtl w:val="0"/>
              </w:rPr>
            </w:r>
          </w:p>
          <w:p w:rsidR="00000000" w:rsidDel="00000000" w:rsidP="00000000" w:rsidRDefault="00000000" w:rsidRPr="00000000" w14:paraId="0000000C">
            <w:pPr>
              <w:numPr>
                <w:ilvl w:val="0"/>
                <w:numId w:val="3"/>
              </w:numPr>
              <w:spacing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può uscire dal pannello di login selezionando la X rossa in alto a destra, sul browser utilizzato.</w:t>
            </w:r>
          </w:p>
          <w:p w:rsidR="00000000" w:rsidDel="00000000" w:rsidP="00000000" w:rsidRDefault="00000000" w:rsidRPr="00000000" w14:paraId="0000000D">
            <w:pPr>
              <w:numPr>
                <w:ilvl w:val="0"/>
                <w:numId w:val="3"/>
              </w:numPr>
              <w:spacing w:before="12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L’amministratore può uscire dalla schermata di invito selezionando il bottone “Indietro” in basso a sinistra.</w:t>
            </w:r>
          </w:p>
        </w:tc>
      </w:tr>
      <w:tr>
        <w:tc>
          <w:tcPr>
            <w:vAlign w:val="top"/>
          </w:tcPr>
          <w:p w:rsidR="00000000" w:rsidDel="00000000" w:rsidP="00000000" w:rsidRDefault="00000000" w:rsidRPr="00000000" w14:paraId="0000000E">
            <w:pPr>
              <w:spacing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Postcondizioni: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Il sistema offre la possibilità di usufruire i servizi offerti.</w:t>
            </w:r>
          </w:p>
        </w:tc>
      </w:tr>
    </w:tbl>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