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r>
        <w:t xml:space="preserve">Graf dobře ukazuje, jak rozdílně se ve třetím čtvrtletí dařilo jednotlivým třídám aktiv. Nejvíce se dařilo americkým akciím, které táhla silná výsledková sezóna, a v plusu skončilo i zlato. Mírně rostly i japonské akcie, přestože japonský index Nikkei 225 v jenech za čtvrtletí ztratil. Pro zahraničního investora výsledek zachránila japonská měna, která vůči dolaru posílila o více než 3 %. Evropské akcie skončily zhruba na nule, protože srpnové rekordy smazal zářijový růst sazeb.</w:t>
      </w:r>
    </w:p>
    <w:p>
      <w:r>
        <w:t xml:space="preserve">Dluhopisy naopak převážně ztrácely. Nejvíce ztratily dlouhodobé americké státní dluhopisy, které doplatily na prudký růst výnosů, jak popisujeme v kapitole o dluhopisech. Zlevnily i evropské firemní dluhopisy. V plusu skončily jen krátkodobé americké dluhopisy, kterým rostoucí sazby tolik neublíží a které z vyššího úroku naopak těží. Zlato, které drží rizikové profily 1–6, znovu ukázalo svou roli v diverzifikaci: jeho cena se často pohybuje jinak než ceny akcií a dluhopisů, a v čtvrtletí, kdy dluhopisy výrazně zlevnily, tak portfoliím pomohlo.</w:t>
      </w:r>
    </w:p>
    <w:p>
      <w:r>
        <w:t xml:space="preserve">Za pozornost stojí i rozdíl mezi výnosem v původní měně a v korunách. U všech tříd aktiv vyšel korunový výnos zhruba o procentní bod vyšší, protože koruna během čtvrtletí mírně oslabila. U dolarových aktiv byl rozdíl o něco větší než u eurových, protože koruna oslabila víc vůči dolaru než vůči euru.</w:t>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2026-10-06T15:37:40.184Z</dcterms:created>
  <dcterms:modified xsi:type="dcterms:W3CDTF">2026-10-06T15:37:40.191Z</dcterms:modified>
</cp:coreProperties>
</file>

<file path=docProps/custom.xml><?xml version="1.0" encoding="utf-8"?>
<Properties xmlns="http://schemas.openxmlformats.org/officeDocument/2006/custom-properties" xmlns:vt="http://schemas.openxmlformats.org/officeDocument/2006/docPropsVTypes"/>
</file>