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Zatímco před válkou projelo průlivem se zapnutým transpondérem i přes sto obchodních lodí denně, od března jich jsou jen jednotky.</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Saúdská Arábie ho 22. září znovu spustila a do konce měsíce jím proudilo nejméně 3,5 milionu barelů denně. Čtvrtletí uzavřel těsně pod 100 dolary, o 34 % výš než na jeho začátku. Od začátku roku je ropa dražší zhruba o 60 %.</w:t>
      </w:r>
    </w:p>
    <w:p>
      <w:r>
        <w:t xml:space="preserve">Trh se přitom omezením dokázal do značné míry přizpůsobit. Vývoz ropy z Perského zálivu bez Íránu se v září vrátil na více než 80 % předválečné úrovně a Saúdská Arábie ho oproti srpnu zvýšila ze 4,2 na zhruba 6,6 milionu barelů denně. Ropa si našla jiné cesty: zhruba 40 % ropy z regionu teď odchází mimo Hormuzský průliv, před válkou to bylo jen 17 %. Další část se překládá z lodi na loď v Ománském zálivu. Íránský vývoz naopak klesl prakticky na nulu.</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byly hvězdami jara,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Ponaučení je stejné jako minule a toto čtvrtletí ho dobře ilustruje. Vítězové na trzích se rychle střídají. Kdo na jaře vsadil vše na čipy, které byly v módě, a v létě je včas neprodal, přišel o velkou část zisků. Právě v tom je aktivní investování nejtěžší. Nestačí trefit správný okamžik pro nákup, stejně přesně je potřeba odhadnout i okamžik prodeje, a to se dlouhodobě nedaří ani profesionálům. V prvním pololetí 2026 zaostaly za indexem S&amp;P 500 dvě třetiny aktivně řízených fondů zaměřených na velké americké firmy a za posledních deset let dokonce 83 % z nich. Pasivní investor takové rozhodování dělat nemusí. Drží celý trh prostřednictvím ETF, takže automaticky vlastní i firmy, které právě rostou, a ztráty jednotlivých sektorů se v portfoliu rozloží. Navíc platí nižší poplatky a nehrozí mu, že nakoupí nebo prodá ve špatnou chvíli. Proto i naše široce rozložená portfolia ve třetím čtvrtletí zachytila zisky amerických akcií a ztráty jiných segmentů tlumila.</w:t>
      </w:r>
    </w:p>
    <w:p>
      <w:pPr>
        <w:pStyle w:val="Heading2"/>
      </w:pPr>
      <w:r>
        <w:t xml:space="preserve">Výhled na konec roku</w:t>
      </w:r>
    </w:p>
    <w:p>
      <w:r>
        <w:t xml:space="preserve">Ropa zůstane hlavním zdrojem nejistoty i v posledním čtvrtletí. Nabídka surové ropy se sice postupně obnovuje, chybí ale kapacity na její zpracování. Ukrajinské drony od začátku roku zasáhly ruské rafinerie nejméně 70krát, Rusko zpracovává nejméně ropy za dvě desetiletí a vývoz nafty zakázalo. Rafinerie v Perském zálivu navíc vyvážejí jen asi 60 % předválečného objemu paliv. Nejvíc je to vidět na naftě. Rozdíl mezi cenou nafty a ropy se v září dostal na rekordní úroveň, a nafta proto zdražila mnohem víc než benzin. Evropu to zasahuje víc než jiné regiony, protože od roku 2009 zavřela zhruba 30 rafinerií a naftu dováží. Ceny navíc drží vysoko silná globální poptávka a stále častější útoky na tankery. Pokud by se podařilo obnovit volnou plavbu Hormuzským průlivem, ropa může rychle zlevnit, podobně jako na jaře, a s ní by polevila inflace. Kdyby se konflikt znovu vyostřil,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Do konce roku mají investoři v kalendáři několik důležitých dat. Fed rozhoduje o sazbách 28. října a ECB o den později, 3. listopadu se v USA volí do Kongresu, 5. listopadu zasedá ČNB a poslední zasedání Fedu v roce připadá na 9. prosince. Fed signalizuje ještě jedno zvýšení do konce roku a riziko ještě vyšších sazeb vidíme v USA i v Evropě. Proto pozorně sledujeme vývoj výnosů státních dluhopisů. Případný další prudký růst výnosů by byl hlavním rizikem pro dluhopisy i pro akcie s vysokým oceněním. U voleb do Kongresu bude trh sledovat hlavně předvolební sliby a to, jak snadno se USA dokážou financovat.</w:t>
      </w:r>
    </w:p>
    <w:p>
      <w:r>
        <w:t xml:space="preserve">Rizikem pro evropská aktiva zůstává Francie. Kdyby výprodej jejích dluhopisů pokračoval, ohrozil by evropské dluhopisy, akcie i samotné euro. Nejvíce by doplatily banky, které francouzské dluhopisy drží.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2026-10-07T14:51:52.074Z</dcterms:created>
  <dcterms:modified xsi:type="dcterms:W3CDTF">2026-10-07T14:51:52.081Z</dcterms:modified>
</cp:coreProperties>
</file>

<file path=docProps/custom.xml><?xml version="1.0" encoding="utf-8"?>
<Properties xmlns="http://schemas.openxmlformats.org/officeDocument/2006/custom-properties" xmlns:vt="http://schemas.openxmlformats.org/officeDocument/2006/docPropsVTypes"/>
</file>