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r>
        <w:t xml:space="preserve">Graf dobře ukazuje, jak rozdílně se ve třetím čtvrtletí dařilo jednotlivým třídám aktiv. Nejvíce vydělaly americké akcie, které přidaly 2,9 % v dolarech a 4,1 % v korunách, a zlato s růstem o 1,9 %, v korunách o 3,2 %. Mírně rostly i japonské akcie (1,7 %, v korunách 2,6 %), přestože japonský index Nikkei 225 v jenech za čtvrtletí ztratil. Zahraničnímu investorovi totiž pomohla japonská měna, která vůči dolaru posílila o více než 3 %. Evropské akcie skončily zhruba na nule (−0,6 % v eurech, 0,2 % v korunách).</w:t>
      </w:r>
    </w:p>
    <w:p>
      <w:r>
        <w:t xml:space="preserve">Na opačném konci grafu stojí dluhopisy. Dlouhodobé americké státní dluhopisy odepsaly 8,5 % (v korunách 7,4 %) a evropské firemní dluhopisy 2,6 % (v korunách 1,8 %). V plusu skončily jen krátkodobé americké dluhopisy, které vydělaly 0,9 % v dolarech a 2,1 % v korunách. U všech tříd aktiv je korunový výnos vyšší než výnos v původní měně, protože koruna během čtvrtletí mírně oslabila. Zlato, které drží rizikové profily 1–6, znovu ukázalo svou roli v diverzifikaci: jeho cena se často pohybuje jinak než ceny akcií a dluhopisů, a v čtvrtletí, kdy dluhopisy výrazně zlevnily, tak portfoliím pomohlo.</w:t>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2026-10-06T15:10:31.897Z</dcterms:created>
  <dcterms:modified xsi:type="dcterms:W3CDTF">2026-10-06T15:10:31.897Z</dcterms:modified>
</cp:coreProperties>
</file>

<file path=docProps/custom.xml><?xml version="1.0" encoding="utf-8"?>
<Properties xmlns="http://schemas.openxmlformats.org/officeDocument/2006/custom-properties" xmlns:vt="http://schemas.openxmlformats.org/officeDocument/2006/docPropsVTypes"/>
</file>