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BD5B6" w14:textId="77777777" w:rsidR="00C8639A" w:rsidRPr="00C8639A" w:rsidRDefault="00C8639A" w:rsidP="00C8639A">
      <w:pPr>
        <w:rPr>
          <w:b/>
          <w:bCs/>
        </w:rPr>
      </w:pPr>
      <w:r w:rsidRPr="00C8639A">
        <w:rPr>
          <w:b/>
          <w:bCs/>
        </w:rPr>
        <w:t>#447 - Trader v Bílém domě</w:t>
      </w:r>
    </w:p>
    <w:p w14:paraId="3A583CAB" w14:textId="77777777" w:rsidR="00C8639A" w:rsidRPr="00C8639A" w:rsidRDefault="00C8639A" w:rsidP="00C8639A">
      <w:pPr>
        <w:rPr>
          <w:b/>
          <w:bCs/>
        </w:rPr>
      </w:pPr>
      <w:r w:rsidRPr="00C8639A">
        <w:rPr>
          <w:b/>
          <w:bCs/>
        </w:rPr>
        <w:t>Trhy mají za sebou převážně růstový týden. Nejlépe si z hlavních indexů vedla Evropa, když Euro Stoxx 50 přidal 2,8 %, solidně rostl také S&amp;P 500 a český PX. Dařilo se i bitcoinu, který za týden posílil o 3,1 %. Od začátku roku ale stále zůstává hluboko v minusu.</w:t>
      </w:r>
    </w:p>
    <w:p w14:paraId="672339E5" w14:textId="7D905ED7" w:rsidR="00C8639A" w:rsidRPr="00C8639A" w:rsidRDefault="00C8639A" w:rsidP="00C8639A">
      <w:r w:rsidRPr="00C8639A">
        <w:drawing>
          <wp:inline distT="0" distB="0" distL="0" distR="0" wp14:anchorId="5AF9105A" wp14:editId="77B889EE">
            <wp:extent cx="5943600" cy="2416810"/>
            <wp:effectExtent l="0" t="0" r="0" b="2540"/>
            <wp:docPr id="107840336" name="Obrázek 14" descr="Obrázek">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brázek">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16810"/>
                    </a:xfrm>
                    <a:prstGeom prst="rect">
                      <a:avLst/>
                    </a:prstGeom>
                    <a:noFill/>
                    <a:ln>
                      <a:noFill/>
                    </a:ln>
                  </pic:spPr>
                </pic:pic>
              </a:graphicData>
            </a:graphic>
          </wp:inline>
        </w:drawing>
      </w:r>
    </w:p>
    <w:p w14:paraId="4D710292" w14:textId="77777777" w:rsidR="00C8639A" w:rsidRPr="00C8639A" w:rsidRDefault="00C8639A" w:rsidP="00C8639A">
      <w:r w:rsidRPr="00C8639A">
        <w:rPr>
          <w:b/>
          <w:bCs/>
        </w:rPr>
        <w:t>Ve Frankfurtu si oddychli</w:t>
      </w:r>
      <w:r w:rsidRPr="00C8639A">
        <w:t>. Evropská</w:t>
      </w:r>
      <w:r w:rsidRPr="00C8639A">
        <w:rPr>
          <w:b/>
          <w:bCs/>
        </w:rPr>
        <w:t> inflace</w:t>
      </w:r>
      <w:r w:rsidRPr="00C8639A">
        <w:t> v červnu </w:t>
      </w:r>
      <w:hyperlink r:id="rId6" w:history="1">
        <w:r w:rsidRPr="00C8639A">
          <w:rPr>
            <w:rStyle w:val="Hypertextovodkaz"/>
          </w:rPr>
          <w:t>zpomalila</w:t>
        </w:r>
      </w:hyperlink>
      <w:r w:rsidRPr="00C8639A">
        <w:t> meziroční růst z 3,2 % na </w:t>
      </w:r>
      <w:r w:rsidRPr="00C8639A">
        <w:rPr>
          <w:b/>
          <w:bCs/>
        </w:rPr>
        <w:t>2,8 %</w:t>
      </w:r>
      <w:r w:rsidRPr="00C8639A">
        <w:t> a jádrová inflace klesla z 2,6 % na 2,4 %. K uklidnění cenových tlaků přispěl především pokles cen energií po zklidnění konfliktu na Blízkém východě. Pro ECB je to příznivá zpráva – má tak větší prostor ponechat úrokové sazby beze změny. Slabší ekonomická aktivita, umírněnější růst mezd i nižší inflační očekávání podniků snižují riziko opětovného zrychlení inflace a slibují nám stabilitu úrokových sazeb.</w:t>
      </w:r>
    </w:p>
    <w:p w14:paraId="037C88F6" w14:textId="011BFE94" w:rsidR="00C8639A" w:rsidRPr="00C8639A" w:rsidRDefault="00C8639A" w:rsidP="00C8639A">
      <w:r w:rsidRPr="00C8639A">
        <w:lastRenderedPageBreak/>
        <w:drawing>
          <wp:inline distT="0" distB="0" distL="0" distR="0" wp14:anchorId="1FF53539" wp14:editId="15A8A058">
            <wp:extent cx="5943600" cy="3366135"/>
            <wp:effectExtent l="0" t="0" r="0" b="5715"/>
            <wp:docPr id="1215118231" name="Obrázek 13" descr="Obrázek">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brázek">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p w14:paraId="5B9F0AC0" w14:textId="77777777" w:rsidR="00C8639A" w:rsidRPr="00C8639A" w:rsidRDefault="00C8639A" w:rsidP="00C8639A">
      <w:r w:rsidRPr="00C8639A">
        <w:rPr>
          <w:b/>
          <w:bCs/>
        </w:rPr>
        <w:t>Americe chybí ruce.</w:t>
      </w:r>
      <w:r w:rsidRPr="00C8639A">
        <w:t> Červnová </w:t>
      </w:r>
      <w:hyperlink r:id="rId9" w:history="1">
        <w:r w:rsidRPr="00C8639A">
          <w:rPr>
            <w:rStyle w:val="Hypertextovodkaz"/>
          </w:rPr>
          <w:t>data</w:t>
        </w:r>
      </w:hyperlink>
      <w:r w:rsidRPr="00C8639A">
        <w:t> z amerického trhu práce přinesla smíšený obrázek, který však celkově vyznívá ve prospěch setrvání úrokových sazeb na současné úrovni. </w:t>
      </w:r>
      <w:r w:rsidRPr="00C8639A">
        <w:rPr>
          <w:b/>
          <w:bCs/>
        </w:rPr>
        <w:t>Tvorba nových pracovních míst zaostala za očekáváním</w:t>
      </w:r>
      <w:r w:rsidRPr="00C8639A">
        <w:t>. Míra nezaměstnanosti sice překvapivě klesla na 4,2 %, detailnější pohled ale ukazuje, že šlo o důsledek poklesu pracovní síly. Pokles nezaměstnanosti tak neodráží silnější poptávku po pracovní síle, ale nižší nabídku. Pro Fed ale každopádně zůstává klíčovým faktorem inflace. Právě inflační data budou mít pro směřování měnové politiky větší význam než statistika z trhu práce. Nadále očekáváme, že Fed ponechá úroky do konce roku beze změny.</w:t>
      </w:r>
    </w:p>
    <w:p w14:paraId="7F6C493A" w14:textId="77777777" w:rsidR="00C8639A" w:rsidRPr="00C8639A" w:rsidRDefault="00C8639A" w:rsidP="00C8639A">
      <w:r w:rsidRPr="00C8639A">
        <w:rPr>
          <w:b/>
          <w:bCs/>
        </w:rPr>
        <w:t>Hormuz: „loading</w:t>
      </w:r>
      <w:proofErr w:type="gramStart"/>
      <w:r w:rsidRPr="00C8639A">
        <w:rPr>
          <w:b/>
          <w:bCs/>
        </w:rPr>
        <w:t>…“</w:t>
      </w:r>
      <w:proofErr w:type="gramEnd"/>
      <w:r w:rsidRPr="00C8639A">
        <w:rPr>
          <w:b/>
          <w:bCs/>
        </w:rPr>
        <w:t>.</w:t>
      </w:r>
      <w:r w:rsidRPr="00C8639A">
        <w:t> Provoz </w:t>
      </w:r>
      <w:r w:rsidRPr="00C8639A">
        <w:rPr>
          <w:b/>
          <w:bCs/>
        </w:rPr>
        <w:t>Hormuzského průlivu</w:t>
      </w:r>
      <w:r w:rsidRPr="00C8639A">
        <w:t> zůstává obnovený </w:t>
      </w:r>
      <w:r w:rsidRPr="00C8639A">
        <w:rPr>
          <w:b/>
          <w:bCs/>
        </w:rPr>
        <w:t>jen částečně</w:t>
      </w:r>
      <w:r w:rsidRPr="00C8639A">
        <w:t>, </w:t>
      </w:r>
      <w:hyperlink r:id="rId10" w:history="1">
        <w:r w:rsidRPr="00C8639A">
          <w:rPr>
            <w:rStyle w:val="Hypertextovodkaz"/>
          </w:rPr>
          <w:t>data</w:t>
        </w:r>
      </w:hyperlink>
      <w:r w:rsidRPr="00C8639A">
        <w:t> o pohybu lodí ukazují mírné oživení přepravy. V posledních dnech propluje úžinou v průměrně 10–20 lodí za 24 hodin. Jedná se sice o zlepšení od minim mezi únorem a červnem, ale ve srovnání s 50–80 přejezdy tankerů na začátku roku pořád žádný zázrak. Trh zatím sází na návrat k normálu, ale skutečné obnovení přepravy zůstává omezené bezpečnostními i provozními riziky a celý systém tak zůstává nestabilní.</w:t>
      </w:r>
    </w:p>
    <w:p w14:paraId="78424255" w14:textId="18214B6C" w:rsidR="00C8639A" w:rsidRPr="00C8639A" w:rsidRDefault="00C8639A" w:rsidP="00C8639A">
      <w:r w:rsidRPr="00C8639A">
        <w:lastRenderedPageBreak/>
        <w:drawing>
          <wp:inline distT="0" distB="0" distL="0" distR="0" wp14:anchorId="1D078E19" wp14:editId="3A52DE27">
            <wp:extent cx="5943600" cy="4096385"/>
            <wp:effectExtent l="0" t="0" r="0" b="0"/>
            <wp:docPr id="273013497" name="Obrázek 12" descr="Obrázek">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brázek">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96385"/>
                    </a:xfrm>
                    <a:prstGeom prst="rect">
                      <a:avLst/>
                    </a:prstGeom>
                    <a:noFill/>
                    <a:ln>
                      <a:noFill/>
                    </a:ln>
                  </pic:spPr>
                </pic:pic>
              </a:graphicData>
            </a:graphic>
          </wp:inline>
        </w:drawing>
      </w:r>
    </w:p>
    <w:p w14:paraId="20F7B848" w14:textId="77777777" w:rsidR="00C8639A" w:rsidRPr="00C8639A" w:rsidRDefault="00C8639A" w:rsidP="00C8639A">
      <w:r w:rsidRPr="00C8639A">
        <w:t>Prosím, můžeme těžit více? </w:t>
      </w:r>
      <w:r w:rsidRPr="00C8639A">
        <w:rPr>
          <w:b/>
          <w:bCs/>
        </w:rPr>
        <w:t>Irák</w:t>
      </w:r>
      <w:r w:rsidRPr="00C8639A">
        <w:t> </w:t>
      </w:r>
      <w:hyperlink r:id="rId13" w:history="1">
        <w:r w:rsidRPr="00C8639A">
          <w:rPr>
            <w:rStyle w:val="Hypertextovodkaz"/>
          </w:rPr>
          <w:t>zvažuje</w:t>
        </w:r>
      </w:hyperlink>
      <w:r w:rsidRPr="00C8639A">
        <w:t> </w:t>
      </w:r>
      <w:r w:rsidRPr="00C8639A">
        <w:rPr>
          <w:b/>
          <w:bCs/>
        </w:rPr>
        <w:t>vystoupení z kartelu OPEC</w:t>
      </w:r>
      <w:r w:rsidRPr="00C8639A">
        <w:t>, pokud bude jeho návrh na </w:t>
      </w:r>
      <w:r w:rsidRPr="00C8639A">
        <w:rPr>
          <w:b/>
          <w:bCs/>
        </w:rPr>
        <w:t>zvýšení těžební kvóty</w:t>
      </w:r>
      <w:r w:rsidRPr="00C8639A">
        <w:t> zamítnut. Bagdád chce výrazně zvýšit produkci ropy a vynahradit si tak ztráty způsobené válkou v Íránu, ale kartelové limity mu v tom brání. Irák je v rámci </w:t>
      </w:r>
      <w:hyperlink r:id="rId14" w:history="1">
        <w:r w:rsidRPr="00C8639A">
          <w:rPr>
            <w:rStyle w:val="Hypertextovodkaz"/>
          </w:rPr>
          <w:t>OPEC</w:t>
        </w:r>
      </w:hyperlink>
      <w:r w:rsidRPr="00C8639A">
        <w:t> druhým největším producentem ropy a její prodej tvoří až 90 % vládních příjmů. Uzavřený Hormuzský průliv mu však znemožňoval vývoz a příjmy srazil k nule. Exkluzivní ropný klub se tak zřejmě pomalu rozpadá. Nedávno mu zamávaly na rozloučenou i </w:t>
      </w:r>
      <w:r w:rsidRPr="00C8639A">
        <w:rPr>
          <w:b/>
          <w:bCs/>
        </w:rPr>
        <w:t>Spojené arabské emiráty</w:t>
      </w:r>
      <w:r w:rsidRPr="00C8639A">
        <w:t>.</w:t>
      </w:r>
    </w:p>
    <w:p w14:paraId="5A65704E" w14:textId="77777777" w:rsidR="00C8639A" w:rsidRPr="00C8639A" w:rsidRDefault="00C8639A" w:rsidP="00C8639A">
      <w:r w:rsidRPr="00C8639A">
        <w:t>Velké problémy ve velké Číně. </w:t>
      </w:r>
      <w:r w:rsidRPr="00C8639A">
        <w:rPr>
          <w:b/>
          <w:bCs/>
        </w:rPr>
        <w:t>Čínské akcie zaostávají</w:t>
      </w:r>
      <w:r w:rsidRPr="00C8639A">
        <w:t> za světem </w:t>
      </w:r>
      <w:r w:rsidRPr="00C8639A">
        <w:rPr>
          <w:b/>
          <w:bCs/>
        </w:rPr>
        <w:t>nejvíce od roku 2001</w:t>
      </w:r>
      <w:r w:rsidRPr="00C8639A">
        <w:t>, protože se </w:t>
      </w:r>
      <w:hyperlink r:id="rId15" w:history="1">
        <w:r w:rsidRPr="00C8639A">
          <w:rPr>
            <w:rStyle w:val="Hypertextovodkaz"/>
          </w:rPr>
          <w:t>neúčastní</w:t>
        </w:r>
      </w:hyperlink>
      <w:r w:rsidRPr="00C8639A">
        <w:t> AI mánie. Index </w:t>
      </w:r>
      <w:r w:rsidRPr="00C8639A">
        <w:rPr>
          <w:b/>
          <w:bCs/>
        </w:rPr>
        <w:t>MSCI China</w:t>
      </w:r>
      <w:r w:rsidRPr="00C8639A">
        <w:t> letos klesl o 17 %, což představuje druhý nejhorší regionální výkon po Indonésii a relativně nejhorší výkon ve srovnání s indexem </w:t>
      </w:r>
      <w:r w:rsidRPr="00C8639A">
        <w:rPr>
          <w:b/>
          <w:bCs/>
        </w:rPr>
        <w:t>MSCI World</w:t>
      </w:r>
      <w:r w:rsidRPr="00C8639A">
        <w:t> za poslední čtvrtstoletí. Čínu trápí deflační tlaky, slabá spotřeba i problémy v realitním sektoru. Hlavním důvodem je však absence akcií, které by z AI těžily podobně jako v USA, v Koreji, na Tchaj-wanu nebo v Japonsku. Největší čínské technologické firmy, </w:t>
      </w:r>
      <w:r w:rsidRPr="00C8639A">
        <w:rPr>
          <w:b/>
          <w:bCs/>
        </w:rPr>
        <w:t>Tencent </w:t>
      </w:r>
      <w:r w:rsidRPr="00C8639A">
        <w:t>a </w:t>
      </w:r>
      <w:r w:rsidRPr="00C8639A">
        <w:rPr>
          <w:b/>
          <w:bCs/>
        </w:rPr>
        <w:t>Alibaba</w:t>
      </w:r>
      <w:r w:rsidRPr="00C8639A">
        <w:t>, naopak ztratily 30 % své hodnoty, což představuje více než 330 miliard dolarů.</w:t>
      </w:r>
    </w:p>
    <w:p w14:paraId="00924B7D" w14:textId="5C01C566" w:rsidR="00C8639A" w:rsidRPr="00C8639A" w:rsidRDefault="00C8639A" w:rsidP="00C8639A">
      <w:r w:rsidRPr="00C8639A">
        <w:lastRenderedPageBreak/>
        <w:drawing>
          <wp:inline distT="0" distB="0" distL="0" distR="0" wp14:anchorId="45E30603" wp14:editId="6D150F88">
            <wp:extent cx="5943600" cy="4252595"/>
            <wp:effectExtent l="0" t="0" r="0" b="0"/>
            <wp:docPr id="1248670264" name="Obrázek 11" descr="Obrázek">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brázek">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252595"/>
                    </a:xfrm>
                    <a:prstGeom prst="rect">
                      <a:avLst/>
                    </a:prstGeom>
                    <a:noFill/>
                    <a:ln>
                      <a:noFill/>
                    </a:ln>
                  </pic:spPr>
                </pic:pic>
              </a:graphicData>
            </a:graphic>
          </wp:inline>
        </w:drawing>
      </w:r>
    </w:p>
    <w:p w14:paraId="0766A426" w14:textId="77777777" w:rsidR="00C8639A" w:rsidRPr="00C8639A" w:rsidRDefault="00C8639A" w:rsidP="00C8639A">
      <w:r w:rsidRPr="00C8639A">
        <w:rPr>
          <w:b/>
          <w:bCs/>
        </w:rPr>
        <w:t>Trader v Bílém domě.</w:t>
      </w:r>
      <w:r w:rsidRPr="00C8639A">
        <w:t> V roce 2025 </w:t>
      </w:r>
      <w:hyperlink r:id="rId18" w:history="1">
        <w:r w:rsidRPr="00C8639A">
          <w:rPr>
            <w:rStyle w:val="Hypertextovodkaz"/>
          </w:rPr>
          <w:t>provedl</w:t>
        </w:r>
      </w:hyperlink>
      <w:r w:rsidRPr="00C8639A">
        <w:t> </w:t>
      </w:r>
      <w:r w:rsidRPr="00C8639A">
        <w:rPr>
          <w:b/>
          <w:bCs/>
        </w:rPr>
        <w:t>Donald Trump</w:t>
      </w:r>
      <w:r w:rsidRPr="00C8639A">
        <w:t> více než </w:t>
      </w:r>
      <w:r w:rsidRPr="00C8639A">
        <w:rPr>
          <w:b/>
          <w:bCs/>
        </w:rPr>
        <w:t>22 000 transakcí s akciemi</w:t>
      </w:r>
      <w:r w:rsidRPr="00C8639A">
        <w:t>. Jeho bezprostřední předchůdce, Joe Biden, provedl za čtyři roky 13 transakcí. Celkově Trump loni přiznal více než 2,2 miliardy dolarů příjmů z kryptoměn, nemovitostí, licenčních poplatků, soudních vyrovnání i prodeje akcií. Trump se obchody dostává do </w:t>
      </w:r>
      <w:r w:rsidRPr="00C8639A">
        <w:rPr>
          <w:b/>
          <w:bCs/>
        </w:rPr>
        <w:t>obrovského střetu zájmů</w:t>
      </w:r>
      <w:r w:rsidRPr="00C8639A">
        <w:t>, protože jako prezident přijímá rozhodnutí, která mohou přímo ovlivňovat hodnotu firem, do kterých má zainvestováno.</w:t>
      </w:r>
    </w:p>
    <w:p w14:paraId="07B3FFF4" w14:textId="2561811C" w:rsidR="00C8639A" w:rsidRPr="00C8639A" w:rsidRDefault="00C8639A" w:rsidP="00C8639A">
      <w:r w:rsidRPr="00C8639A">
        <w:lastRenderedPageBreak/>
        <w:drawing>
          <wp:inline distT="0" distB="0" distL="0" distR="0" wp14:anchorId="316A6C05" wp14:editId="07716CA4">
            <wp:extent cx="5943600" cy="3817620"/>
            <wp:effectExtent l="0" t="0" r="0" b="0"/>
            <wp:docPr id="1642936213" name="Obrázek 10" descr="Obrázek">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brázek">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17620"/>
                    </a:xfrm>
                    <a:prstGeom prst="rect">
                      <a:avLst/>
                    </a:prstGeom>
                    <a:noFill/>
                    <a:ln>
                      <a:noFill/>
                    </a:ln>
                  </pic:spPr>
                </pic:pic>
              </a:graphicData>
            </a:graphic>
          </wp:inline>
        </w:drawing>
      </w:r>
    </w:p>
    <w:p w14:paraId="1F6EF0D2" w14:textId="77777777" w:rsidR="00C8639A" w:rsidRPr="00C8639A" w:rsidRDefault="00C8639A" w:rsidP="00C8639A">
      <w:r w:rsidRPr="00C8639A">
        <w:rPr>
          <w:b/>
          <w:bCs/>
        </w:rPr>
        <w:t>Smutná Moskva, nešťastný Kreml. </w:t>
      </w:r>
      <w:r w:rsidRPr="00C8639A">
        <w:t>Mezi Rusy </w:t>
      </w:r>
      <w:hyperlink r:id="rId21" w:history="1">
        <w:r w:rsidRPr="00C8639A">
          <w:rPr>
            <w:rStyle w:val="Hypertextovodkaz"/>
          </w:rPr>
          <w:t>zavládl</w:t>
        </w:r>
      </w:hyperlink>
      <w:r w:rsidRPr="00C8639A">
        <w:t> </w:t>
      </w:r>
      <w:r w:rsidRPr="00C8639A">
        <w:rPr>
          <w:b/>
          <w:bCs/>
        </w:rPr>
        <w:t>největší pesimismus ohledně ekonomického vývoje</w:t>
      </w:r>
      <w:r w:rsidRPr="00C8639A">
        <w:t> za posledních minimálně </w:t>
      </w:r>
      <w:r w:rsidRPr="00C8639A">
        <w:rPr>
          <w:b/>
          <w:bCs/>
        </w:rPr>
        <w:t>20 let</w:t>
      </w:r>
      <w:r w:rsidRPr="00C8639A">
        <w:t>. Až 60 % Rusů uvedlo, že se zhoršují ekonomické podmínky v oblasti, kde žijí, a 56 % vnímá pokles životní úrovně. Průzkum byl přitom proveden ještě předtím, než propukl problém s nedostatkem pohonných hmot. Smutek nejspíš vládne i v Kremlu, kde musí řešit stále viditelnější problémy s veřejnými financemi. </w:t>
      </w:r>
      <w:r w:rsidRPr="00C8639A">
        <w:rPr>
          <w:i/>
          <w:iCs/>
        </w:rPr>
        <w:t>Třídenní speciální vojenská operace</w:t>
      </w:r>
      <w:r w:rsidRPr="00C8639A">
        <w:t> tak po pěti letech už není pro Rusy žádná legrace, zejména když se musejí vracet k prázdným čerpacím stanicím a nad hlavou jim létají drony.</w:t>
      </w:r>
    </w:p>
    <w:p w14:paraId="7E197AD2" w14:textId="77777777" w:rsidR="00C8639A" w:rsidRPr="00C8639A" w:rsidRDefault="00C8639A" w:rsidP="00C8639A">
      <w:r w:rsidRPr="00C8639A">
        <w:rPr>
          <w:b/>
          <w:bCs/>
        </w:rPr>
        <w:t>Volkswagen rozdává padáky</w:t>
      </w:r>
      <w:r w:rsidRPr="00C8639A">
        <w:t>. Německý automobilový koncern v příštích letech </w:t>
      </w:r>
      <w:hyperlink r:id="rId22" w:history="1">
        <w:r w:rsidRPr="00C8639A">
          <w:rPr>
            <w:rStyle w:val="Hypertextovodkaz"/>
          </w:rPr>
          <w:t>zruší</w:t>
        </w:r>
      </w:hyperlink>
      <w:r w:rsidRPr="00C8639A">
        <w:rPr>
          <w:b/>
          <w:bCs/>
        </w:rPr>
        <w:t> </w:t>
      </w:r>
      <w:r w:rsidRPr="00C8639A">
        <w:t>až </w:t>
      </w:r>
      <w:r w:rsidRPr="00C8639A">
        <w:rPr>
          <w:b/>
          <w:bCs/>
        </w:rPr>
        <w:t>100 000 míst</w:t>
      </w:r>
      <w:r w:rsidRPr="00C8639A">
        <w:t>. Je to dvakrát více než původně plánoval, přičemž se mají zavřít až 4 německé továrny. Jedná se o největší restrukturalizaci Volkswagenu v historii, která má urychleně snížit náklady a počítá i s vyčleněním značky Volkswagen do samostatného podniku. Tlak na firmu zvyšují dovozní cla, rostoucí čínská konkurence a nákladný přechod na elektromobilitu. Škoda Auto oproti tomu propouštění </w:t>
      </w:r>
      <w:hyperlink r:id="rId23" w:history="1">
        <w:r w:rsidRPr="00C8639A">
          <w:rPr>
            <w:rStyle w:val="Hypertextovodkaz"/>
          </w:rPr>
          <w:t>odmítá</w:t>
        </w:r>
      </w:hyperlink>
      <w:r w:rsidRPr="00C8639A">
        <w:t>.</w:t>
      </w:r>
    </w:p>
    <w:p w14:paraId="3289BA45" w14:textId="77777777" w:rsidR="00C8639A" w:rsidRPr="00C8639A" w:rsidRDefault="00C8639A" w:rsidP="00C8639A">
      <w:r w:rsidRPr="00C8639A">
        <w:t>Jene, drž se! </w:t>
      </w:r>
      <w:r w:rsidRPr="00C8639A">
        <w:rPr>
          <w:b/>
          <w:bCs/>
        </w:rPr>
        <w:t>Kurz japonského jenu </w:t>
      </w:r>
      <w:r w:rsidRPr="00C8639A">
        <w:t>vůči americkému dolaru </w:t>
      </w:r>
      <w:hyperlink r:id="rId24" w:history="1">
        <w:r w:rsidRPr="00C8639A">
          <w:rPr>
            <w:rStyle w:val="Hypertextovodkaz"/>
          </w:rPr>
          <w:t>klesl</w:t>
        </w:r>
      </w:hyperlink>
      <w:r w:rsidRPr="00C8639A">
        <w:t> na </w:t>
      </w:r>
      <w:r w:rsidRPr="00C8639A">
        <w:rPr>
          <w:b/>
          <w:bCs/>
        </w:rPr>
        <w:t>nejnižší úroveň</w:t>
      </w:r>
      <w:r w:rsidRPr="00C8639A">
        <w:t> za téměř </w:t>
      </w:r>
      <w:r w:rsidRPr="00C8639A">
        <w:rPr>
          <w:b/>
          <w:bCs/>
        </w:rPr>
        <w:t>40 let</w:t>
      </w:r>
      <w:r w:rsidRPr="00C8639A">
        <w:t xml:space="preserve">. Důvodem je posilování dolaru v důsledku očekávaného zvyšování úrokových sazeb. Slabý jen je výhodný pro vývozce, protože zlevňuje jejich zboží v zahraničí, ale zdražuje dovoz. To představuje pro japonskou ekonomiku riziko, protože je závislá na </w:t>
      </w:r>
      <w:r w:rsidRPr="00C8639A">
        <w:lastRenderedPageBreak/>
        <w:t>dovozu energie. Tokio proto zasáhlo zvýšením klíčové úrokové sazby na 1 %, což je </w:t>
      </w:r>
      <w:r w:rsidRPr="00C8639A">
        <w:rPr>
          <w:b/>
          <w:bCs/>
        </w:rPr>
        <w:t>31leté maximum</w:t>
      </w:r>
      <w:r w:rsidRPr="00C8639A">
        <w:t>.</w:t>
      </w:r>
      <w:r w:rsidRPr="00C8639A">
        <w:rPr>
          <w:b/>
          <w:bCs/>
        </w:rPr>
        <w:t> </w:t>
      </w:r>
      <w:r w:rsidRPr="00C8639A">
        <w:t>Jen ale zatím jen klesá.</w:t>
      </w:r>
    </w:p>
    <w:p w14:paraId="68BBC18E" w14:textId="77777777" w:rsidR="00C8639A" w:rsidRPr="00C8639A" w:rsidRDefault="00C8639A" w:rsidP="00C8639A">
      <w:r w:rsidRPr="00C8639A">
        <w:rPr>
          <w:b/>
          <w:bCs/>
        </w:rPr>
        <w:t>Nike, máme problém! </w:t>
      </w:r>
      <w:r w:rsidRPr="00C8639A">
        <w:t>Akcie této sportovní ikony </w:t>
      </w:r>
      <w:hyperlink r:id="rId25" w:history="1">
        <w:r w:rsidRPr="00C8639A">
          <w:rPr>
            <w:rStyle w:val="Hypertextovodkaz"/>
          </w:rPr>
          <w:t>klesly</w:t>
        </w:r>
      </w:hyperlink>
      <w:r w:rsidRPr="00C8639A">
        <w:t> na </w:t>
      </w:r>
      <w:r w:rsidRPr="00C8639A">
        <w:rPr>
          <w:b/>
          <w:bCs/>
        </w:rPr>
        <w:t>nejnižší úroveň od roku 2014</w:t>
      </w:r>
      <w:r w:rsidRPr="00C8639A">
        <w:t>, přičemž od svého maxima ztratily 75 %. Společnost čelí vysokým clům na dovážené zboží, která snižují její ziskovost, stagnujícím prodejům a rostoucí konkurenci ze strany značek New Balance, Hoka, Adidas nebo On. Ve středu Nike zveřejnila výsledky za poslední čtvrtletí, které opět zklamaly a ukázaly, že k oživení podnikání pod vedením nového ředitele zatím nedochází. </w:t>
      </w:r>
      <w:r w:rsidRPr="00C8639A">
        <w:rPr>
          <w:i/>
          <w:iCs/>
        </w:rPr>
        <w:t>Just do it</w:t>
      </w:r>
      <w:r w:rsidRPr="00C8639A">
        <w:t> pořád stejně nejspíš nestačí.</w:t>
      </w:r>
    </w:p>
    <w:p w14:paraId="05FD5249" w14:textId="20AC32A7" w:rsidR="00C8639A" w:rsidRPr="00C8639A" w:rsidRDefault="00C8639A" w:rsidP="00C8639A">
      <w:r w:rsidRPr="00C8639A">
        <w:drawing>
          <wp:inline distT="0" distB="0" distL="0" distR="0" wp14:anchorId="5ABEC7DE" wp14:editId="053A17B5">
            <wp:extent cx="5943600" cy="4155440"/>
            <wp:effectExtent l="0" t="0" r="0" b="0"/>
            <wp:docPr id="1694934047" name="Obrázek 9" descr="Obráze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brázek">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155440"/>
                    </a:xfrm>
                    <a:prstGeom prst="rect">
                      <a:avLst/>
                    </a:prstGeom>
                    <a:noFill/>
                    <a:ln>
                      <a:noFill/>
                    </a:ln>
                  </pic:spPr>
                </pic:pic>
              </a:graphicData>
            </a:graphic>
          </wp:inline>
        </w:drawing>
      </w:r>
    </w:p>
    <w:p w14:paraId="624A6AFF" w14:textId="77777777" w:rsidR="00C8639A" w:rsidRPr="00C8639A" w:rsidRDefault="00C8639A" w:rsidP="00C8639A">
      <w:r w:rsidRPr="00C8639A">
        <w:rPr>
          <w:b/>
          <w:bCs/>
        </w:rPr>
        <w:t>Meta mění hru.</w:t>
      </w:r>
      <w:r w:rsidRPr="00C8639A">
        <w:t> Akcie </w:t>
      </w:r>
      <w:r w:rsidRPr="00C8639A">
        <w:rPr>
          <w:b/>
          <w:bCs/>
        </w:rPr>
        <w:t>Mety</w:t>
      </w:r>
      <w:r w:rsidRPr="00C8639A">
        <w:t> </w:t>
      </w:r>
      <w:hyperlink r:id="rId28" w:history="1">
        <w:r w:rsidRPr="00C8639A">
          <w:rPr>
            <w:rStyle w:val="Hypertextovodkaz"/>
          </w:rPr>
          <w:t>vzrostly</w:t>
        </w:r>
      </w:hyperlink>
      <w:r w:rsidRPr="00C8639A">
        <w:t> o 9 % po zprávách, že firma buduje vlastní cloudový byznys. Ten by jí umožnil</w:t>
      </w:r>
      <w:r w:rsidRPr="00C8639A">
        <w:rPr>
          <w:b/>
          <w:bCs/>
        </w:rPr>
        <w:t> komerčně využít přebytečnou výpočetní kapacitu</w:t>
      </w:r>
      <w:r w:rsidRPr="00C8639A">
        <w:t> z masivních investic do AI infrastruktury. Meta také nabídne přístup k vlastním AI modelům, čímž vstoupí do konkurenčního trhu zatím ovládaného hráči jako </w:t>
      </w:r>
      <w:r w:rsidRPr="00C8639A">
        <w:rPr>
          <w:b/>
          <w:bCs/>
        </w:rPr>
        <w:t>Amazon</w:t>
      </w:r>
      <w:r w:rsidRPr="00C8639A">
        <w:t>,</w:t>
      </w:r>
      <w:r w:rsidRPr="00C8639A">
        <w:rPr>
          <w:b/>
          <w:bCs/>
        </w:rPr>
        <w:t> Microsoft </w:t>
      </w:r>
      <w:r w:rsidRPr="00C8639A">
        <w:t>a</w:t>
      </w:r>
      <w:r w:rsidRPr="00C8639A">
        <w:rPr>
          <w:b/>
          <w:bCs/>
        </w:rPr>
        <w:t> Google</w:t>
      </w:r>
      <w:r w:rsidRPr="00C8639A">
        <w:t>. Tento krok by mohl částečně kompenzovat výdaje na datová centra a GPU, které letos mohou dosáhnout až 145 miliard dolarů. Současně jde o širší trend v odvětví, kdy velké technologické firmy hledají nové druhy příjmů ze své AI infrastruktury.</w:t>
      </w:r>
    </w:p>
    <w:p w14:paraId="5BF7A67B" w14:textId="77777777" w:rsidR="00C8639A" w:rsidRPr="00C8639A" w:rsidRDefault="00C8639A" w:rsidP="00C8639A">
      <w:r w:rsidRPr="00C8639A">
        <w:rPr>
          <w:b/>
          <w:bCs/>
        </w:rPr>
        <w:t>Bruselská stopka Googlu.</w:t>
      </w:r>
      <w:r w:rsidRPr="00C8639A">
        <w:t> Evropský soudní dvůr definitivně </w:t>
      </w:r>
      <w:hyperlink r:id="rId29" w:history="1">
        <w:r w:rsidRPr="00C8639A">
          <w:rPr>
            <w:rStyle w:val="Hypertextovodkaz"/>
          </w:rPr>
          <w:t>potvrdil</w:t>
        </w:r>
      </w:hyperlink>
      <w:r w:rsidRPr="00C8639A">
        <w:t> </w:t>
      </w:r>
      <w:r w:rsidRPr="00C8639A">
        <w:rPr>
          <w:b/>
          <w:bCs/>
        </w:rPr>
        <w:t>pokutu 4,1 miliardy eur</w:t>
      </w:r>
      <w:r w:rsidRPr="00C8639A">
        <w:t> pro společnost Alphabet za </w:t>
      </w:r>
      <w:r w:rsidRPr="00C8639A">
        <w:rPr>
          <w:b/>
          <w:bCs/>
        </w:rPr>
        <w:t>zneužití dominantního postavení</w:t>
      </w:r>
      <w:r w:rsidRPr="00C8639A">
        <w:t xml:space="preserve"> operačního systému </w:t>
      </w:r>
      <w:r w:rsidRPr="00C8639A">
        <w:lastRenderedPageBreak/>
        <w:t>Android. Podle soudu Google zvýhodňoval své aplikace prostřednictvím předinstalačních dohod s výrobci telefonů, čímž omezoval hospodářskou soutěž. Rozhodnutí je konečné, čímž se uzavírá dlouholetý antimonopolní spor a potvrzuje tvrdý přístup EU vůči velkým technologickým firmám. To se Trumpovi líbit nebude.</w:t>
      </w:r>
    </w:p>
    <w:p w14:paraId="46BAA176" w14:textId="77777777" w:rsidR="00C8639A" w:rsidRPr="00C8639A" w:rsidRDefault="00C8639A" w:rsidP="00C8639A">
      <w:r w:rsidRPr="00C8639A">
        <w:rPr>
          <w:b/>
          <w:bCs/>
        </w:rPr>
        <w:t>5% podíl za přízeň? </w:t>
      </w:r>
      <w:r w:rsidRPr="00C8639A">
        <w:t>Tvůrce ChatGPT, společnost </w:t>
      </w:r>
      <w:r w:rsidRPr="00C8639A">
        <w:rPr>
          <w:b/>
          <w:bCs/>
        </w:rPr>
        <w:t>OpenAI</w:t>
      </w:r>
      <w:r w:rsidRPr="00C8639A">
        <w:t>, </w:t>
      </w:r>
      <w:hyperlink r:id="rId30" w:history="1">
        <w:r w:rsidRPr="00C8639A">
          <w:rPr>
            <w:rStyle w:val="Hypertextovodkaz"/>
          </w:rPr>
          <w:t>zvažuje</w:t>
        </w:r>
      </w:hyperlink>
      <w:r w:rsidRPr="00C8639A">
        <w:t> </w:t>
      </w:r>
      <w:r w:rsidRPr="00C8639A">
        <w:rPr>
          <w:b/>
          <w:bCs/>
        </w:rPr>
        <w:t>odložení</w:t>
      </w:r>
      <w:r w:rsidRPr="00C8639A">
        <w:t> svého </w:t>
      </w:r>
      <w:r w:rsidRPr="00C8639A">
        <w:rPr>
          <w:b/>
          <w:bCs/>
        </w:rPr>
        <w:t>vstupu na burzu</w:t>
      </w:r>
      <w:r w:rsidRPr="00C8639A">
        <w:t> až na rok </w:t>
      </w:r>
      <w:r w:rsidRPr="00C8639A">
        <w:rPr>
          <w:b/>
          <w:bCs/>
        </w:rPr>
        <w:t>2027</w:t>
      </w:r>
      <w:r w:rsidRPr="00C8639A">
        <w:t> s cílem dosáhnout valuace kolem </w:t>
      </w:r>
      <w:r w:rsidRPr="00C8639A">
        <w:rPr>
          <w:b/>
          <w:bCs/>
        </w:rPr>
        <w:t>1 bilionu dolarů</w:t>
      </w:r>
      <w:r w:rsidRPr="00C8639A">
        <w:t>. Důvod není jednoznačný. Spekuluje se, že za tím stojí zkušenost z nedávného IPO SpaceX, jehož akcie po prvotním růstu výrazně kolísaly, a OpenAI by mohl čekat podobný příběh. Dalším možným důvodem je IPO konkurenčního Anthropicu plánované ještě letos. OpenAI totiž nechce na trh vstoupit bezprostředně po něm. OpenAI měla zároveň </w:t>
      </w:r>
      <w:hyperlink r:id="rId31" w:history="1">
        <w:r w:rsidRPr="00C8639A">
          <w:rPr>
            <w:rStyle w:val="Hypertextovodkaz"/>
          </w:rPr>
          <w:t>navrhnout</w:t>
        </w:r>
      </w:hyperlink>
      <w:r w:rsidRPr="00C8639A">
        <w:t>, aby </w:t>
      </w:r>
      <w:r w:rsidRPr="00C8639A">
        <w:rPr>
          <w:b/>
          <w:bCs/>
        </w:rPr>
        <w:t>americká vláda</w:t>
      </w:r>
      <w:r w:rsidRPr="00C8639A">
        <w:t> získala ve společnosti </w:t>
      </w:r>
      <w:r w:rsidRPr="00C8639A">
        <w:rPr>
          <w:b/>
          <w:bCs/>
        </w:rPr>
        <w:t>5% podíl</w:t>
      </w:r>
      <w:r w:rsidRPr="00C8639A">
        <w:t>. Podle CEO firmy Sama Altmana to má zajistit, aby veřejnost měla přímý zisk z ekonomických přínosů AI. Otázka ale je, jestli to firma nedělá jen proto, aby se více zalíbila současné Trumpově administrativě.</w:t>
      </w:r>
    </w:p>
    <w:p w14:paraId="00D11179" w14:textId="77777777" w:rsidR="00C8639A" w:rsidRPr="00C8639A" w:rsidRDefault="00C8639A" w:rsidP="00C8639A">
      <w:r w:rsidRPr="00C8639A">
        <w:rPr>
          <w:b/>
          <w:bCs/>
        </w:rPr>
        <w:t>Nechte ruce na volantu.</w:t>
      </w:r>
      <w:r w:rsidRPr="00C8639A">
        <w:t> Bývalí </w:t>
      </w:r>
      <w:r w:rsidRPr="00C8639A">
        <w:rPr>
          <w:b/>
          <w:bCs/>
        </w:rPr>
        <w:t>zaměstnanci</w:t>
      </w:r>
      <w:r w:rsidRPr="00C8639A">
        <w:t> </w:t>
      </w:r>
      <w:r w:rsidRPr="00C8639A">
        <w:rPr>
          <w:b/>
          <w:bCs/>
        </w:rPr>
        <w:t>Tesly</w:t>
      </w:r>
      <w:r w:rsidRPr="00C8639A">
        <w:t> </w:t>
      </w:r>
      <w:r w:rsidRPr="00C8639A">
        <w:rPr>
          <w:b/>
          <w:bCs/>
        </w:rPr>
        <w:t>zpochybňují bezpečnost</w:t>
      </w:r>
      <w:r w:rsidRPr="00C8639A">
        <w:t> systému </w:t>
      </w:r>
      <w:r w:rsidRPr="00C8639A">
        <w:rPr>
          <w:b/>
          <w:bCs/>
        </w:rPr>
        <w:t>plně autonomního řízení</w:t>
      </w:r>
      <w:r w:rsidRPr="00C8639A">
        <w:t> (</w:t>
      </w:r>
      <w:hyperlink r:id="rId32" w:history="1">
        <w:r w:rsidRPr="00C8639A">
          <w:rPr>
            <w:rStyle w:val="Hypertextovodkaz"/>
          </w:rPr>
          <w:t>FSD</w:t>
        </w:r>
      </w:hyperlink>
      <w:r w:rsidRPr="00C8639A">
        <w:t>). Většina z nich by do vozu řízeného tímto systémem sama </w:t>
      </w:r>
      <w:hyperlink r:id="rId33" w:history="1">
        <w:r w:rsidRPr="00C8639A">
          <w:rPr>
            <w:rStyle w:val="Hypertextovodkaz"/>
          </w:rPr>
          <w:t>nenastoupila</w:t>
        </w:r>
      </w:hyperlink>
      <w:r w:rsidRPr="00C8639A">
        <w:t> a kritizují zejména příliš optimistická vyjádření Elona Muska o připravenosti technologie na plně autonomní provoz. Systém podle zaměstnanců pravidelně překračoval rychlost a způsoboval jiná rizika. Kritika přichází v době, kdy už Tesla čelí nepříjemným otázkám po sérii medializovaných nehod během testování autonomního řízení. Marketingový král Elon však tuto kauzu určitě zvládne.</w:t>
      </w:r>
    </w:p>
    <w:p w14:paraId="6F980E1E" w14:textId="77777777" w:rsidR="00C8639A" w:rsidRPr="00C8639A" w:rsidRDefault="00C8639A" w:rsidP="00C8639A">
      <w:r w:rsidRPr="00C8639A">
        <w:rPr>
          <w:b/>
          <w:bCs/>
        </w:rPr>
        <w:t>Vesmírný sňatek.</w:t>
      </w:r>
      <w:r w:rsidRPr="00C8639A">
        <w:t> Americká společnost </w:t>
      </w:r>
      <w:r w:rsidRPr="00C8639A">
        <w:rPr>
          <w:b/>
          <w:bCs/>
        </w:rPr>
        <w:t>Rocket Lab</w:t>
      </w:r>
      <w:r w:rsidRPr="00C8639A">
        <w:t> </w:t>
      </w:r>
      <w:hyperlink r:id="rId34" w:history="1">
        <w:r w:rsidRPr="00C8639A">
          <w:rPr>
            <w:rStyle w:val="Hypertextovodkaz"/>
          </w:rPr>
          <w:t>oznámila</w:t>
        </w:r>
      </w:hyperlink>
      <w:r w:rsidRPr="00C8639A">
        <w:t> </w:t>
      </w:r>
      <w:r w:rsidRPr="00C8639A">
        <w:rPr>
          <w:b/>
          <w:bCs/>
        </w:rPr>
        <w:t>akvizici operátora satelitů Iridium</w:t>
      </w:r>
      <w:r w:rsidRPr="00C8639A">
        <w:t> za zhruba 8 miliard dolarů. Vznikne tím všestranný hráč schopný pokrýt celý řetězec vesmírných služeb od výroby raket a satelitů až po jejich provoz na oběžné dráze. Společnost se s novou připravovanou raketou Neutron staví do pozice hlavního vyzyvatele</w:t>
      </w:r>
      <w:r w:rsidRPr="00C8639A">
        <w:rPr>
          <w:b/>
          <w:bCs/>
        </w:rPr>
        <w:t> SpaceX</w:t>
      </w:r>
      <w:r w:rsidRPr="00C8639A">
        <w:t> a láká pozornost investorů. Za posledních 5 let si její akcie připsaly </w:t>
      </w:r>
      <w:r w:rsidRPr="00C8639A">
        <w:rPr>
          <w:b/>
          <w:bCs/>
        </w:rPr>
        <w:t>782 %.</w:t>
      </w:r>
    </w:p>
    <w:p w14:paraId="376299D3" w14:textId="77777777" w:rsidR="00C8639A" w:rsidRPr="00C8639A" w:rsidRDefault="00C8639A" w:rsidP="00C8639A">
      <w:r w:rsidRPr="00C8639A">
        <w:rPr>
          <w:b/>
          <w:bCs/>
        </w:rPr>
        <w:t>Konec práce se odkládá.</w:t>
      </w:r>
      <w:r w:rsidRPr="00C8639A">
        <w:t> Intenzivní adopce AI zatím nevede k poklesu zaměstnanosti, ale naopak k růstu. Společnosti, které </w:t>
      </w:r>
      <w:r w:rsidRPr="00C8639A">
        <w:rPr>
          <w:b/>
          <w:bCs/>
        </w:rPr>
        <w:t>AI</w:t>
      </w:r>
      <w:r w:rsidRPr="00C8639A">
        <w:t> využívají výrazněji, </w:t>
      </w:r>
      <w:r w:rsidRPr="00C8639A">
        <w:rPr>
          <w:b/>
          <w:bCs/>
        </w:rPr>
        <w:t>zvýšily počet zaměstnanců</w:t>
      </w:r>
      <w:r w:rsidRPr="00C8639A">
        <w:t> přibližně o 10 % během dvou let, zatímco u juniorních pozic byl růst ještě vyšší. Stále častěji se </w:t>
      </w:r>
      <w:hyperlink r:id="rId35" w:history="1">
        <w:r w:rsidRPr="00C8639A">
          <w:rPr>
            <w:rStyle w:val="Hypertextovodkaz"/>
          </w:rPr>
          <w:t>objevují</w:t>
        </w:r>
      </w:hyperlink>
      <w:r w:rsidRPr="00C8639A">
        <w:t> i případy firem, které propuštěné pracovníky najímají zpět. Celkově se tak ukazuje, že AI zatím spíše mění strukturu práce a zvyšuje produktivitu, než aby vedla k plošnému nahrazování zaměstnanců. Ostatně i náš newsletter pro vás pořád píší lidé.</w:t>
      </w:r>
    </w:p>
    <w:p w14:paraId="5CB3FB82" w14:textId="4681EF61" w:rsidR="00C8639A" w:rsidRPr="00C8639A" w:rsidRDefault="00C8639A" w:rsidP="00C8639A">
      <w:r w:rsidRPr="00C8639A">
        <w:lastRenderedPageBreak/>
        <w:drawing>
          <wp:inline distT="0" distB="0" distL="0" distR="0" wp14:anchorId="6406777F" wp14:editId="6BD0DB82">
            <wp:extent cx="5943600" cy="3731260"/>
            <wp:effectExtent l="0" t="0" r="0" b="2540"/>
            <wp:docPr id="1866185543" name="Obrázek 8" descr="Obrázek">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brázek">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731260"/>
                    </a:xfrm>
                    <a:prstGeom prst="rect">
                      <a:avLst/>
                    </a:prstGeom>
                    <a:noFill/>
                    <a:ln>
                      <a:noFill/>
                    </a:ln>
                  </pic:spPr>
                </pic:pic>
              </a:graphicData>
            </a:graphic>
          </wp:inline>
        </w:drawing>
      </w:r>
    </w:p>
    <w:p w14:paraId="7FC48B7B" w14:textId="77777777" w:rsidR="00C8639A" w:rsidRPr="00C8639A" w:rsidRDefault="00C8639A" w:rsidP="00C8639A">
      <w:r w:rsidRPr="00C8639A">
        <w:rPr>
          <w:b/>
          <w:bCs/>
        </w:rPr>
        <w:t>Co nového v Portu?</w:t>
      </w:r>
    </w:p>
    <w:p w14:paraId="3227E50C" w14:textId="77777777" w:rsidR="00C8639A" w:rsidRPr="00C8639A" w:rsidRDefault="00C8639A" w:rsidP="00C8639A">
      <w:r w:rsidRPr="00C8639A">
        <w:t>V Portu jsme překročili </w:t>
      </w:r>
      <w:r w:rsidRPr="00C8639A">
        <w:rPr>
          <w:b/>
          <w:bCs/>
        </w:rPr>
        <w:t>70 miliard korun pod správou</w:t>
      </w:r>
      <w:r w:rsidRPr="00C8639A">
        <w:t> </w:t>
      </w:r>
      <w:proofErr w:type="gramStart"/>
      <w:r w:rsidRPr="00C8639A">
        <w:t>a</w:t>
      </w:r>
      <w:proofErr w:type="gramEnd"/>
      <w:r w:rsidRPr="00C8639A">
        <w:t xml:space="preserve"> investuje s námi už více než </w:t>
      </w:r>
      <w:r w:rsidRPr="00C8639A">
        <w:rPr>
          <w:b/>
          <w:bCs/>
        </w:rPr>
        <w:t>325 tisíc klientů</w:t>
      </w:r>
      <w:r w:rsidRPr="00C8639A">
        <w:t>, což je výsledkem práce celého týmu i důvěry investorů. Současně pokračujeme v rozvoji platformy – od </w:t>
      </w:r>
      <w:hyperlink r:id="rId38" w:history="1">
        <w:r w:rsidRPr="00C8639A">
          <w:rPr>
            <w:rStyle w:val="Hypertextovodkaz"/>
          </w:rPr>
          <w:t>rozšíření nabídky</w:t>
        </w:r>
      </w:hyperlink>
      <w:r w:rsidRPr="00C8639A">
        <w:t xml:space="preserve"> akcií </w:t>
      </w:r>
      <w:proofErr w:type="gramStart"/>
      <w:r w:rsidRPr="00C8639A">
        <w:t>a</w:t>
      </w:r>
      <w:proofErr w:type="gramEnd"/>
      <w:r w:rsidRPr="00C8639A">
        <w:t xml:space="preserve"> ETF přes spuštění </w:t>
      </w:r>
      <w:hyperlink r:id="rId39" w:history="1">
        <w:r w:rsidRPr="00C8639A">
          <w:rPr>
            <w:rStyle w:val="Hypertextovodkaz"/>
          </w:rPr>
          <w:t>brokerage</w:t>
        </w:r>
      </w:hyperlink>
      <w:r w:rsidRPr="00C8639A">
        <w:t> až po další plánované novinky jako nižší poplatky u DIP, nové analytické funkce, ETF na pražskou burzu nebo službu Portu Renta. Cílem zůstává jediné: být dlouhodobým partnerem pro investování v každé fázi investiční cesty.</w:t>
      </w:r>
    </w:p>
    <w:p w14:paraId="3F8ABE79" w14:textId="77777777" w:rsidR="00C8639A" w:rsidRPr="00C8639A" w:rsidRDefault="00C8639A" w:rsidP="00C8639A">
      <w:r w:rsidRPr="00C8639A">
        <w:t>Aktuálně probíhá </w:t>
      </w:r>
      <w:r w:rsidRPr="00C8639A">
        <w:rPr>
          <w:b/>
          <w:bCs/>
        </w:rPr>
        <w:t>speciální akce pro klienty Portu</w:t>
      </w:r>
      <w:r w:rsidRPr="00C8639A">
        <w:t>, v rámci které jim naši </w:t>
      </w:r>
      <w:hyperlink r:id="rId40" w:history="1">
        <w:r w:rsidRPr="00C8639A">
          <w:rPr>
            <w:rStyle w:val="Hypertextovodkaz"/>
          </w:rPr>
          <w:t>investiční konzultanti</w:t>
        </w:r>
      </w:hyperlink>
      <w:r w:rsidRPr="00C8639A">
        <w:t> pomáhají efektivněji rozinvestovat finanční rezervu. Pokud vám peníze leží bokem a hledáte způsob, jak je lépe zhodnotit, můžete se </w:t>
      </w:r>
      <w:r w:rsidRPr="00C8639A">
        <w:rPr>
          <w:b/>
          <w:bCs/>
        </w:rPr>
        <w:t>přihlásit na </w:t>
      </w:r>
      <w:hyperlink r:id="rId41" w:history="1">
        <w:r w:rsidRPr="00C8639A">
          <w:rPr>
            <w:rStyle w:val="Hypertextovodkaz"/>
            <w:b/>
            <w:bCs/>
          </w:rPr>
          <w:t>individuální konzultaci</w:t>
        </w:r>
      </w:hyperlink>
      <w:r w:rsidRPr="00C8639A">
        <w:t> a probrat možnosti investování přizpůsobené vašim cílům a rizikovému profilu.</w:t>
      </w:r>
    </w:p>
    <w:p w14:paraId="48B9FBE0" w14:textId="77777777" w:rsidR="00C8639A" w:rsidRPr="00C8639A" w:rsidRDefault="00C8639A" w:rsidP="00C8639A">
      <w:r w:rsidRPr="00C8639A">
        <w:t>Hezký prodloužený víkend!</w:t>
      </w:r>
    </w:p>
    <w:p w14:paraId="656B5F0B" w14:textId="77777777" w:rsidR="0094491D" w:rsidRDefault="0094491D"/>
    <w:sectPr w:rsidR="00944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39A"/>
    <w:rsid w:val="0052412B"/>
    <w:rsid w:val="0094491D"/>
    <w:rsid w:val="00C8639A"/>
    <w:rsid w:val="00DC1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EE80"/>
  <w15:chartTrackingRefBased/>
  <w15:docId w15:val="{19A45C6A-7771-48DE-B829-813E7F06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C86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C86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C8639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C8639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C8639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8639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8639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8639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8639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C8639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C8639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C8639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C8639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C8639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8639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8639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8639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8639A"/>
    <w:rPr>
      <w:rFonts w:eastAsiaTheme="majorEastAsia" w:cstheme="majorBidi"/>
      <w:color w:val="272727" w:themeColor="text1" w:themeTint="D8"/>
    </w:rPr>
  </w:style>
  <w:style w:type="paragraph" w:styleId="Nzev">
    <w:name w:val="Title"/>
    <w:basedOn w:val="Normln"/>
    <w:next w:val="Normln"/>
    <w:link w:val="NzevChar"/>
    <w:uiPriority w:val="10"/>
    <w:qFormat/>
    <w:rsid w:val="00C86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8639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8639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8639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8639A"/>
    <w:pPr>
      <w:spacing w:before="160"/>
      <w:jc w:val="center"/>
    </w:pPr>
    <w:rPr>
      <w:i/>
      <w:iCs/>
      <w:color w:val="404040" w:themeColor="text1" w:themeTint="BF"/>
    </w:rPr>
  </w:style>
  <w:style w:type="character" w:customStyle="1" w:styleId="CittChar">
    <w:name w:val="Citát Char"/>
    <w:basedOn w:val="Standardnpsmoodstavce"/>
    <w:link w:val="Citt"/>
    <w:uiPriority w:val="29"/>
    <w:rsid w:val="00C8639A"/>
    <w:rPr>
      <w:i/>
      <w:iCs/>
      <w:color w:val="404040" w:themeColor="text1" w:themeTint="BF"/>
    </w:rPr>
  </w:style>
  <w:style w:type="paragraph" w:styleId="Odstavecseseznamem">
    <w:name w:val="List Paragraph"/>
    <w:basedOn w:val="Normln"/>
    <w:uiPriority w:val="34"/>
    <w:qFormat/>
    <w:rsid w:val="00C8639A"/>
    <w:pPr>
      <w:ind w:left="720"/>
      <w:contextualSpacing/>
    </w:pPr>
  </w:style>
  <w:style w:type="character" w:styleId="Zdraznnintenzivn">
    <w:name w:val="Intense Emphasis"/>
    <w:basedOn w:val="Standardnpsmoodstavce"/>
    <w:uiPriority w:val="21"/>
    <w:qFormat/>
    <w:rsid w:val="00C8639A"/>
    <w:rPr>
      <w:i/>
      <w:iCs/>
      <w:color w:val="0F4761" w:themeColor="accent1" w:themeShade="BF"/>
    </w:rPr>
  </w:style>
  <w:style w:type="paragraph" w:styleId="Vrazncitt">
    <w:name w:val="Intense Quote"/>
    <w:basedOn w:val="Normln"/>
    <w:next w:val="Normln"/>
    <w:link w:val="VrazncittChar"/>
    <w:uiPriority w:val="30"/>
    <w:qFormat/>
    <w:rsid w:val="00C8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8639A"/>
    <w:rPr>
      <w:i/>
      <w:iCs/>
      <w:color w:val="0F4761" w:themeColor="accent1" w:themeShade="BF"/>
    </w:rPr>
  </w:style>
  <w:style w:type="character" w:styleId="Odkazintenzivn">
    <w:name w:val="Intense Reference"/>
    <w:basedOn w:val="Standardnpsmoodstavce"/>
    <w:uiPriority w:val="32"/>
    <w:qFormat/>
    <w:rsid w:val="00C8639A"/>
    <w:rPr>
      <w:b/>
      <w:bCs/>
      <w:smallCaps/>
      <w:color w:val="0F4761" w:themeColor="accent1" w:themeShade="BF"/>
      <w:spacing w:val="5"/>
    </w:rPr>
  </w:style>
  <w:style w:type="character" w:styleId="Hypertextovodkaz">
    <w:name w:val="Hyperlink"/>
    <w:basedOn w:val="Standardnpsmoodstavce"/>
    <w:uiPriority w:val="99"/>
    <w:unhideWhenUsed/>
    <w:rsid w:val="00C8639A"/>
    <w:rPr>
      <w:color w:val="467886" w:themeColor="hyperlink"/>
      <w:u w:val="single"/>
    </w:rPr>
  </w:style>
  <w:style w:type="character" w:styleId="Nevyeenzmnka">
    <w:name w:val="Unresolved Mention"/>
    <w:basedOn w:val="Standardnpsmoodstavce"/>
    <w:uiPriority w:val="99"/>
    <w:semiHidden/>
    <w:unhideWhenUsed/>
    <w:rsid w:val="00C863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business/energy/iraq-consider-all-options-if-opec-quota-is-not-raised-has-weighed-exit-sources-2026-06-25/" TargetMode="External"/><Relationship Id="rId18" Type="http://schemas.openxmlformats.org/officeDocument/2006/relationships/hyperlink" Target="https://www.afr.com/world/north-america/donald-trump-made-up-to-2b-in-stock-purchases-in-2025-20260702-p60bvu" TargetMode="External"/><Relationship Id="rId26" Type="http://schemas.openxmlformats.org/officeDocument/2006/relationships/hyperlink" Target="https://magazin.portu.cz/wp-content/uploads/2026/07/K31cH-akcie-nike-se-propadly-na-nejnizsi-uroven-od-roku-2014-.png" TargetMode="External"/><Relationship Id="rId39" Type="http://schemas.openxmlformats.org/officeDocument/2006/relationships/hyperlink" Target="https://magazin.portu.cz/portu-spousti-brokerage-zkusenejsim-investorum-umozni-obchodovat-naprimo-a-v-realnem-case/" TargetMode="External"/><Relationship Id="rId21" Type="http://schemas.openxmlformats.org/officeDocument/2006/relationships/hyperlink" Target="https://news.gallup.com/poll/711989/russian-economic-outlook-negative-years.aspx" TargetMode="External"/><Relationship Id="rId34" Type="http://schemas.openxmlformats.org/officeDocument/2006/relationships/hyperlink" Target="https://www.investicniweb.cz/aktuality/324475-rocket-lab-kupuje-iridium-a-miri-mezi-nejvetsi-vesmirne-hrace" TargetMode="External"/><Relationship Id="rId42" Type="http://schemas.openxmlformats.org/officeDocument/2006/relationships/fontTable" Target="fontTable.xml"/><Relationship Id="rId7" Type="http://schemas.openxmlformats.org/officeDocument/2006/relationships/hyperlink" Target="https://magazin.portu.cz/wp-content/uploads/2026/07/ecb-eu-inflace-1500x850.png" TargetMode="External"/><Relationship Id="rId2" Type="http://schemas.openxmlformats.org/officeDocument/2006/relationships/settings" Target="settings.xml"/><Relationship Id="rId16" Type="http://schemas.openxmlformats.org/officeDocument/2006/relationships/hyperlink" Target="https://magazin.portu.cz/wp-content/uploads/2026/07/iryNr-cinske-akcie-s-nejhorsim-vykonem-oproti-svetovym-akciim-.png" TargetMode="External"/><Relationship Id="rId20" Type="http://schemas.openxmlformats.org/officeDocument/2006/relationships/image" Target="media/image5.png"/><Relationship Id="rId29" Type="http://schemas.openxmlformats.org/officeDocument/2006/relationships/hyperlink" Target="https://www.cnbc.com/2026/07/02/alphabet-google-android-eu-antitrust-fine-4-1-billion-euro-appeal.html" TargetMode="External"/><Relationship Id="rId41" Type="http://schemas.openxmlformats.org/officeDocument/2006/relationships/hyperlink" Target="https://www.portu.cz/souhrn/investicni-konzultace" TargetMode="External"/><Relationship Id="rId1" Type="http://schemas.openxmlformats.org/officeDocument/2006/relationships/styles" Target="styles.xml"/><Relationship Id="rId6" Type="http://schemas.openxmlformats.org/officeDocument/2006/relationships/hyperlink" Target="https://ec.europa.eu/eurostat/web/products-euro-indicators/w/2-01072026-ap" TargetMode="External"/><Relationship Id="rId11" Type="http://schemas.openxmlformats.org/officeDocument/2006/relationships/hyperlink" Target="https://magazin.portu.cz/wp-content/uploads/2026/07/1oT0U-provoz-hormuzskeho-prulivu-zustava-obnoveny-jen-castecne-.png" TargetMode="External"/><Relationship Id="rId24" Type="http://schemas.openxmlformats.org/officeDocument/2006/relationships/hyperlink" Target="https://edition.cnn.com/2026/07/01/economy/japanese-yen-low" TargetMode="External"/><Relationship Id="rId32" Type="http://schemas.openxmlformats.org/officeDocument/2006/relationships/hyperlink" Target="https://en.wikipedia.org/wiki/Self-driving_car" TargetMode="External"/><Relationship Id="rId37" Type="http://schemas.openxmlformats.org/officeDocument/2006/relationships/image" Target="media/image7.png"/><Relationship Id="rId40" Type="http://schemas.openxmlformats.org/officeDocument/2006/relationships/hyperlink" Target="https://www.portu.cz/investicni-konzultace" TargetMode="External"/><Relationship Id="rId5" Type="http://schemas.openxmlformats.org/officeDocument/2006/relationships/image" Target="media/image1.png"/><Relationship Id="rId15" Type="http://schemas.openxmlformats.org/officeDocument/2006/relationships/hyperlink" Target="https://x.com/marekmalina_/status/2071893411477549244?s=20" TargetMode="External"/><Relationship Id="rId23" Type="http://schemas.openxmlformats.org/officeDocument/2006/relationships/hyperlink" Target="https://tradersunion.com/cs/news/financial-news/show/2551929-skoda-auto-bez-propousteni-vytezene-zavody/" TargetMode="External"/><Relationship Id="rId28" Type="http://schemas.openxmlformats.org/officeDocument/2006/relationships/hyperlink" Target="https://www.cnbc.com/2026/07/01/meta-stock-cloud-ai-compute.html" TargetMode="External"/><Relationship Id="rId36" Type="http://schemas.openxmlformats.org/officeDocument/2006/relationships/hyperlink" Target="https://magazin.portu.cz/wp-content/uploads/2026/07/image-proxy.png" TargetMode="External"/><Relationship Id="rId10" Type="http://schemas.openxmlformats.org/officeDocument/2006/relationships/hyperlink" Target="https://www.reuters.com/commentary/reuters-open-interest/hormuz-half-open-tanker-fleet-prices-recovery-hope-2026-06-30/" TargetMode="External"/><Relationship Id="rId19" Type="http://schemas.openxmlformats.org/officeDocument/2006/relationships/hyperlink" Target="https://magazin.portu.cz/wp-content/uploads/2026/07/PGxS1-trump-v-roce-2025-udelal-vice-nez-22-tisic-obchodu-1-1.png" TargetMode="External"/><Relationship Id="rId31" Type="http://schemas.openxmlformats.org/officeDocument/2006/relationships/hyperlink" Target="https://www.cnbc.com/2026/07/02/openai-proposes-us-government-own-5percent-stake-to-address-political-blowback.html" TargetMode="External"/><Relationship Id="rId4" Type="http://schemas.openxmlformats.org/officeDocument/2006/relationships/hyperlink" Target="https://magazin.portu.cz/wp-content/uploads/2026/06/image-110.png" TargetMode="External"/><Relationship Id="rId9" Type="http://schemas.openxmlformats.org/officeDocument/2006/relationships/hyperlink" Target="https://www.bls.gov/news.release/empsit.nr0.htm" TargetMode="External"/><Relationship Id="rId14" Type="http://schemas.openxmlformats.org/officeDocument/2006/relationships/hyperlink" Target="https://cs.wikipedia.org/wiki/Organizace_zem%C3%AD_vyv%C3%A1%C5%BEej%C3%ADc%C3%ADch_ropu" TargetMode="External"/><Relationship Id="rId22" Type="http://schemas.openxmlformats.org/officeDocument/2006/relationships/hyperlink" Target="https://www.reuters.com/business/autos-transportation/volkswagen-ceo-aims-cut-up-100000-jobs-next-years-manager-magazin-reports-2026-06-26/" TargetMode="External"/><Relationship Id="rId27" Type="http://schemas.openxmlformats.org/officeDocument/2006/relationships/image" Target="media/image6.png"/><Relationship Id="rId30" Type="http://schemas.openxmlformats.org/officeDocument/2006/relationships/hyperlink" Target="https://finance.yahoo.com/markets/stocks/articles/openai-now-considering-2027-ipo-013300058.html" TargetMode="External"/><Relationship Id="rId35" Type="http://schemas.openxmlformats.org/officeDocument/2006/relationships/hyperlink" Target="https://www.cnbc.com/2026/07/01/employers-who-laid-off-workers-for-ai-are-reversing-their-decisions.html"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hyperlink" Target="https://sherwood.news/markets/nike-q4-2026-earnings-apparel-world-cup-tariff-refund/" TargetMode="External"/><Relationship Id="rId33" Type="http://schemas.openxmlformats.org/officeDocument/2006/relationships/hyperlink" Target="https://futurism.com/advanced-transport/tesla-insiders-self-driving-disaster" TargetMode="External"/><Relationship Id="rId38" Type="http://schemas.openxmlformats.org/officeDocument/2006/relationships/hyperlink" Target="https://magazin.portu.cz/rozsirujeme-nabidku-portfolii-podle-vas-vyberte-si-ze-187-novych-etf-a-akcii/"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1850</Words>
  <Characters>10547</Characters>
  <Application>Microsoft Office Word</Application>
  <DocSecurity>0</DocSecurity>
  <Lines>87</Lines>
  <Paragraphs>24</Paragraphs>
  <ScaleCrop>false</ScaleCrop>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Pokorny, Portu.cz</dc:creator>
  <cp:keywords/>
  <dc:description/>
  <cp:lastModifiedBy>Marek Pokorny, Portu.cz</cp:lastModifiedBy>
  <cp:revision>1</cp:revision>
  <dcterms:created xsi:type="dcterms:W3CDTF">2026-08-17T08:54:00Z</dcterms:created>
  <dcterms:modified xsi:type="dcterms:W3CDTF">2026-08-17T08:55:00Z</dcterms:modified>
</cp:coreProperties>
</file>