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Přispěla také k růstu úrokových sazeb, o kterém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psali, že americké sazby podle nás zůstanou do konce roku beze změny. Mýlili jsme se.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Francie si kvůli rozpočtovým potížím půjčuje na deset let za 4,84 %, dráž než Itálie.</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Pokud se podaří obnovit volnou plavbu Hormuzským průlivem a opravit saúdský ropovod, ropa může rychle zlevnit, podobně jako na jaře. S ní by polevila inflace a centrální banky by mohly s dalším zvyšováním sazeb přestat. Pokud konflikt přetrvá, počítáme s dražší energií, vyšší inflací a dalším tlakem na sazby i dluhopisy.</w:t>
      </w:r>
    </w:p>
    <w:p>
      <w:r>
        <w:t xml:space="preserve">Druhou proměnnou jsou sazby a veřejné finance. Fed signalizuje ještě jedno zvýšení do konce roku. Trh bude bedlivě sledovat volby do Kongresu 3. listopadu, předvolební sliby i to, jak snadno se USA a Francie dokážou financovat. Případný další prudký růst výnosů by byl hlavním rizikem pro dluhopisy i pro akcie s vysokým oceněním.</w:t>
      </w:r>
    </w:p>
    <w:p>
      <w:r>
        <w:t xml:space="preserve">Třetí proměnnou jsou firemní zisky. Analytici pro výsledkovou sezónu za třetí čtvrtletí, která startuje v říjnu, čekají meziroční růst zisků S&amp;P 500 o necelých 30 %. Pokud se to potvrdí, ocenění akcií zůstane rozumné i po letošním růstu. Riziko vidíme hlavně v tom, že by firmy začaly drahou energii a dražší úvěry pociťovat ve svých maržích.</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2026-10-07T07:59:34.458Z</dcterms:created>
  <dcterms:modified xsi:type="dcterms:W3CDTF">2026-10-07T07:59:34.458Z</dcterms:modified>
</cp:coreProperties>
</file>

<file path=docProps/custom.xml><?xml version="1.0" encoding="utf-8"?>
<Properties xmlns="http://schemas.openxmlformats.org/officeDocument/2006/custom-properties" xmlns:vt="http://schemas.openxmlformats.org/officeDocument/2006/docPropsVTypes"/>
</file>