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A29D3D" w14:textId="77777777" w:rsidR="00280212" w:rsidRPr="00280212" w:rsidRDefault="00280212" w:rsidP="00280212">
      <w:pPr>
        <w:rPr>
          <w:b/>
          <w:bCs/>
        </w:rPr>
      </w:pPr>
      <w:r w:rsidRPr="00280212">
        <w:rPr>
          <w:b/>
          <w:bCs/>
        </w:rPr>
        <w:t>#444 - Výbuch jménem SpaceX</w:t>
      </w:r>
    </w:p>
    <w:p w14:paraId="782E4A18" w14:textId="77777777" w:rsidR="00280212" w:rsidRPr="00280212" w:rsidRDefault="00280212" w:rsidP="00280212">
      <w:pPr>
        <w:rPr>
          <w:b/>
          <w:bCs/>
        </w:rPr>
      </w:pPr>
      <w:r w:rsidRPr="00280212">
        <w:rPr>
          <w:b/>
          <w:bCs/>
        </w:rPr>
        <w:t>Akciové trhy zakončily týden smíšeně. Ústup geopolitického napětí kolem Íránu pomohl investorům uklidnit nervy a podpořil evropské akcie, zatímco americké trhy zůstaly pod tlakem rostoucí inflace, která snižuje šance na brzké snižování sazeb Fedu. Zlato zažilo nejhorší týden od března a propadlo se na šestiměsíční minima.</w:t>
      </w:r>
    </w:p>
    <w:p w14:paraId="573C37B3" w14:textId="5DBE8481" w:rsidR="00057F08" w:rsidRPr="00057F08" w:rsidRDefault="00057F08" w:rsidP="00057F08">
      <w:r w:rsidRPr="00057F08">
        <w:drawing>
          <wp:inline distT="0" distB="0" distL="0" distR="0" wp14:anchorId="3C82578D" wp14:editId="28EB162D">
            <wp:extent cx="5943600" cy="2222500"/>
            <wp:effectExtent l="0" t="0" r="0" b="6350"/>
            <wp:docPr id="655660878" name="Obrázek 40" descr="Obrázek">
              <a:hlinkClick xmlns:a="http://schemas.openxmlformats.org/drawingml/2006/main" r:id="rId4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1" descr="Obrázek">
                      <a:hlinkClick r:id="rId4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222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31BCD9" w14:textId="77777777" w:rsidR="00057F08" w:rsidRPr="00057F08" w:rsidRDefault="00057F08" w:rsidP="00057F08">
      <w:r w:rsidRPr="00057F08">
        <w:rPr>
          <w:b/>
          <w:bCs/>
        </w:rPr>
        <w:t>Vše se mění, TACO zůstává?</w:t>
      </w:r>
      <w:r w:rsidRPr="00057F08">
        <w:t> Donald Trump </w:t>
      </w:r>
      <w:hyperlink r:id="rId6" w:history="1">
        <w:r w:rsidRPr="00057F08">
          <w:rPr>
            <w:rStyle w:val="Hypertextovodkaz"/>
            <w:b/>
            <w:bCs/>
          </w:rPr>
          <w:t>odvolal</w:t>
        </w:r>
      </w:hyperlink>
      <w:r w:rsidRPr="00057F08">
        <w:rPr>
          <w:b/>
          <w:bCs/>
        </w:rPr>
        <w:t> údery na Írán</w:t>
      </w:r>
      <w:r w:rsidRPr="00057F08">
        <w:t>, které oznámil několik hodin předtím. Zároveň slíbil, že brzy prozradí místo i datum podpisu mírové dohody – hlavní body podle něj Írán přijal a jednání proběhla na nejvyšší úrovni. </w:t>
      </w:r>
      <w:r w:rsidRPr="00057F08">
        <w:rPr>
          <w:b/>
          <w:bCs/>
        </w:rPr>
        <w:t>Írán naopak jako obvykle tvrdí, že neví, o čem Trump mluví</w:t>
      </w:r>
      <w:r w:rsidRPr="00057F08">
        <w:t>. Americká námořní blokáda íránských přístavů přesto zůstává v platnosti. Akciové trhy po zrušení plánu na obsazení ropného ostrova Charg vzrostly a odmazaly část týdenních ztrát. Ropa </w:t>
      </w:r>
      <w:r w:rsidRPr="00057F08">
        <w:rPr>
          <w:b/>
          <w:bCs/>
        </w:rPr>
        <w:t>Brent je zpět pod 90 dolary za barel</w:t>
      </w:r>
      <w:r w:rsidRPr="00057F08">
        <w:t>.</w:t>
      </w:r>
    </w:p>
    <w:p w14:paraId="5B269D1C" w14:textId="77777777" w:rsidR="00057F08" w:rsidRPr="00057F08" w:rsidRDefault="00057F08" w:rsidP="00057F08">
      <w:r w:rsidRPr="00057F08">
        <w:rPr>
          <w:b/>
          <w:bCs/>
        </w:rPr>
        <w:t>Trumpův inflační problém.</w:t>
      </w:r>
      <w:r w:rsidRPr="00057F08">
        <w:t> Inflace v USA v květnu </w:t>
      </w:r>
      <w:hyperlink r:id="rId7" w:history="1">
        <w:r w:rsidRPr="00057F08">
          <w:rPr>
            <w:rStyle w:val="Hypertextovodkaz"/>
          </w:rPr>
          <w:t>vzrostla</w:t>
        </w:r>
      </w:hyperlink>
      <w:r w:rsidRPr="00057F08">
        <w:t> na </w:t>
      </w:r>
      <w:r w:rsidRPr="00057F08">
        <w:rPr>
          <w:b/>
          <w:bCs/>
        </w:rPr>
        <w:t>4,2 %</w:t>
      </w:r>
      <w:r w:rsidRPr="00057F08">
        <w:t>,</w:t>
      </w:r>
      <w:r w:rsidRPr="00057F08">
        <w:rPr>
          <w:b/>
          <w:bCs/>
        </w:rPr>
        <w:t> </w:t>
      </w:r>
      <w:r w:rsidRPr="00057F08">
        <w:t>tedy</w:t>
      </w:r>
      <w:r w:rsidRPr="00057F08">
        <w:rPr>
          <w:b/>
          <w:bCs/>
        </w:rPr>
        <w:t> </w:t>
      </w:r>
      <w:r w:rsidRPr="00057F08">
        <w:t>na </w:t>
      </w:r>
      <w:r w:rsidRPr="00057F08">
        <w:rPr>
          <w:b/>
          <w:bCs/>
        </w:rPr>
        <w:t>nejvyšší úroveň za poslední tři roky</w:t>
      </w:r>
      <w:r w:rsidRPr="00057F08">
        <w:t>. Hlavním důvodem je prudké </w:t>
      </w:r>
      <w:r w:rsidRPr="00057F08">
        <w:rPr>
          <w:b/>
          <w:bCs/>
        </w:rPr>
        <w:t>zdražení energií</w:t>
      </w:r>
      <w:r w:rsidRPr="00057F08">
        <w:t> v důsledku napětí na Blízkém východě a omezení dopravy v Hormuzském průlivu. Vyšší inflace komplikuje prezidentu Trumpovi situaci před listopadovými volbami a zároveň snižuje šanci na brzké snižování úrokových sazeb americkým Fedem. Naopak sílí spekulace, že Fed pod vedením nového předsedy Kevina Warshe může déle držet sazby vysoko, případně je dále zvýšit.</w:t>
      </w:r>
    </w:p>
    <w:p w14:paraId="73661190" w14:textId="7D23812B" w:rsidR="00057F08" w:rsidRPr="00057F08" w:rsidRDefault="00057F08" w:rsidP="00057F08">
      <w:r w:rsidRPr="00057F08">
        <w:lastRenderedPageBreak/>
        <w:drawing>
          <wp:inline distT="0" distB="0" distL="0" distR="0" wp14:anchorId="6F658F51" wp14:editId="379C2AD2">
            <wp:extent cx="5943600" cy="4144645"/>
            <wp:effectExtent l="0" t="0" r="0" b="8255"/>
            <wp:docPr id="1451952552" name="Obrázek 39" descr="Obrázek">
              <a:hlinkClick xmlns:a="http://schemas.openxmlformats.org/drawingml/2006/main" r:id="rId8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2" descr="Obrázek">
                      <a:hlinkClick r:id="rId8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144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BCABB6" w14:textId="77777777" w:rsidR="00057F08" w:rsidRPr="00057F08" w:rsidRDefault="00057F08" w:rsidP="00057F08">
      <w:r w:rsidRPr="00057F08">
        <w:rPr>
          <w:b/>
          <w:bCs/>
        </w:rPr>
        <w:t>ECB šlape na brzdu.</w:t>
      </w:r>
      <w:r w:rsidRPr="00057F08">
        <w:t> Evropská centrální banka po téměř třech letech </w:t>
      </w:r>
      <w:hyperlink r:id="rId10" w:history="1">
        <w:r w:rsidRPr="00057F08">
          <w:rPr>
            <w:rStyle w:val="Hypertextovodkaz"/>
            <w:b/>
            <w:bCs/>
          </w:rPr>
          <w:t>zvýšila</w:t>
        </w:r>
      </w:hyperlink>
      <w:r w:rsidRPr="00057F08">
        <w:rPr>
          <w:b/>
          <w:bCs/>
        </w:rPr>
        <w:t> klíčovou sazbu ze 2 % na 2,25 %</w:t>
      </w:r>
      <w:r w:rsidRPr="00057F08">
        <w:t> v reakci na rostoucí inflaci. Ta v eurozóně dosáhla v květnu 3,2 %, přičemž na začátku roku byla jen 1,7 %. ECB zároveň zhoršila výhled ekonomického růstu eurozóny a zvýšila předpokládanou inflaci na letošní i příští rok. Další kroky budou záviset na vývoji cen energií, mezd a ekonomiky, přičemž další zvýšení sazeb trh případně čeká nejdříve v září.</w:t>
      </w:r>
    </w:p>
    <w:p w14:paraId="3A143C42" w14:textId="63EC4457" w:rsidR="00057F08" w:rsidRPr="00057F08" w:rsidRDefault="00057F08" w:rsidP="00057F08">
      <w:r w:rsidRPr="00057F08">
        <w:lastRenderedPageBreak/>
        <w:drawing>
          <wp:inline distT="0" distB="0" distL="0" distR="0" wp14:anchorId="26380120" wp14:editId="4230C46C">
            <wp:extent cx="5943600" cy="3623945"/>
            <wp:effectExtent l="0" t="0" r="0" b="0"/>
            <wp:docPr id="1524235010" name="Obrázek 38" descr="Obrázek">
              <a:hlinkClick xmlns:a="http://schemas.openxmlformats.org/drawingml/2006/main" r:id="rId11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3" descr="Obrázek">
                      <a:hlinkClick r:id="rId11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623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589355" w14:textId="77777777" w:rsidR="00057F08" w:rsidRPr="00057F08" w:rsidRDefault="00057F08" w:rsidP="00057F08">
      <w:r w:rsidRPr="00057F08">
        <w:rPr>
          <w:b/>
          <w:bCs/>
        </w:rPr>
        <w:t>Výbuch jménem SpaceX. </w:t>
      </w:r>
      <w:r w:rsidRPr="00057F08">
        <w:t>Vesmírná</w:t>
      </w:r>
      <w:r w:rsidRPr="00057F08">
        <w:rPr>
          <w:b/>
          <w:bCs/>
        </w:rPr>
        <w:t> </w:t>
      </w:r>
      <w:r w:rsidRPr="00057F08">
        <w:t>společnost Elona Muska dnešním dnem </w:t>
      </w:r>
      <w:hyperlink r:id="rId13" w:history="1">
        <w:r w:rsidRPr="00057F08">
          <w:rPr>
            <w:rStyle w:val="Hypertextovodkaz"/>
          </w:rPr>
          <w:t>vstupuje</w:t>
        </w:r>
      </w:hyperlink>
      <w:r w:rsidRPr="00057F08">
        <w:t> na burzu v </w:t>
      </w:r>
      <w:r w:rsidRPr="00057F08">
        <w:rPr>
          <w:b/>
          <w:bCs/>
        </w:rPr>
        <w:t>největším IPO v historii</w:t>
      </w:r>
      <w:r w:rsidRPr="00057F08">
        <w:t> s oceněním kolem 1,75 bilionu dolarů. Firma má získat zhruba 75 miliard dolarů. SpaceX sice rychle roste díky Starlinku a vesmírným zakázkám, zároveň ale vykazuje </w:t>
      </w:r>
      <w:r w:rsidRPr="00057F08">
        <w:rPr>
          <w:b/>
          <w:bCs/>
        </w:rPr>
        <w:t>miliardové ztráty, vysoké náklady na AI segment a extrémní násobky ocenění vůči tržbám</w:t>
      </w:r>
      <w:r w:rsidRPr="00057F08">
        <w:t>, takže investoři kupují hlavně budoucí příběh, ne současnou ziskovost. Doporučujeme proto případnou investici velmi dobře zvážit. Pokud o ně opravdu budete stát, akcie SpaceX najdete v naší </w:t>
      </w:r>
      <w:hyperlink r:id="rId14" w:history="1">
        <w:r w:rsidRPr="00057F08">
          <w:rPr>
            <w:rStyle w:val="Hypertextovodkaz"/>
          </w:rPr>
          <w:t>nabídce</w:t>
        </w:r>
      </w:hyperlink>
      <w:r w:rsidRPr="00057F08">
        <w:t>, až se s nimi začne veřejně obchodovat na burze.</w:t>
      </w:r>
    </w:p>
    <w:p w14:paraId="2218F82D" w14:textId="5C2BE520" w:rsidR="00057F08" w:rsidRPr="00057F08" w:rsidRDefault="00057F08" w:rsidP="00057F08">
      <w:r w:rsidRPr="00057F08">
        <w:lastRenderedPageBreak/>
        <w:drawing>
          <wp:inline distT="0" distB="0" distL="0" distR="0" wp14:anchorId="4D8FF547" wp14:editId="36830A38">
            <wp:extent cx="5238750" cy="6648450"/>
            <wp:effectExtent l="0" t="0" r="0" b="0"/>
            <wp:docPr id="2009136406" name="Obrázek 37" descr="Obrázek">
              <a:hlinkClick xmlns:a="http://schemas.openxmlformats.org/drawingml/2006/main" r:id="rId15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4" descr="Obrázek">
                      <a:hlinkClick r:id="rId15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750" cy="6648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F59716" w14:textId="77777777" w:rsidR="00057F08" w:rsidRPr="00057F08" w:rsidRDefault="00057F08" w:rsidP="00057F08">
      <w:r w:rsidRPr="00057F08">
        <w:rPr>
          <w:b/>
          <w:bCs/>
        </w:rPr>
        <w:t>Milionář z jídelny. </w:t>
      </w:r>
      <w:r w:rsidRPr="00057F08">
        <w:t>Kromě rekordního ocenění má IPO SpaceX přinést i mimořádné zbohatnutí tisícům zaměstnanců. Podle </w:t>
      </w:r>
      <w:hyperlink r:id="rId17" w:history="1">
        <w:r w:rsidRPr="00057F08">
          <w:rPr>
            <w:rStyle w:val="Hypertextovodkaz"/>
          </w:rPr>
          <w:t>odhadů</w:t>
        </w:r>
      </w:hyperlink>
      <w:r w:rsidRPr="00057F08">
        <w:t> se více než </w:t>
      </w:r>
      <w:r w:rsidRPr="00057F08">
        <w:rPr>
          <w:b/>
          <w:bCs/>
        </w:rPr>
        <w:t>4 400 současných i bývalých pracovníků</w:t>
      </w:r>
      <w:r w:rsidRPr="00057F08">
        <w:t> po vstupu firmy na burzu </w:t>
      </w:r>
      <w:r w:rsidRPr="00057F08">
        <w:rPr>
          <w:b/>
          <w:bCs/>
        </w:rPr>
        <w:t>stane milionáři</w:t>
      </w:r>
      <w:r w:rsidRPr="00057F08">
        <w:t xml:space="preserve"> a zhruba 400 z nich může dosáhnout majetku přes 100 milionů dolarů. Významná část tohoto bohatství přitom připadne i běžným zaměstnancům, kteří drží zaměstnanecké akcie – včetně techniků a pracovníků ve </w:t>
      </w:r>
      <w:r w:rsidRPr="00057F08">
        <w:lastRenderedPageBreak/>
        <w:t>výrobě nebo v kantýně. Takže pokud chcete pořizovat třeba byt, recept už není zakládat a prodávat start-upy. Stačí vařit knedlo vepřo zelo pro tu správnou firmu v Silicon Valley.</w:t>
      </w:r>
    </w:p>
    <w:p w14:paraId="12B1FE70" w14:textId="77777777" w:rsidR="00057F08" w:rsidRPr="00057F08" w:rsidRDefault="00057F08" w:rsidP="00057F08">
      <w:r w:rsidRPr="00057F08">
        <w:rPr>
          <w:b/>
          <w:bCs/>
        </w:rPr>
        <w:t>Altman chce na parket.</w:t>
      </w:r>
      <w:r w:rsidRPr="00057F08">
        <w:t> Po Elonovi chce peníze pro svou firmu získat i jeho velký rival – CEO OpenAI Sam Altman. Firma stojící za </w:t>
      </w:r>
      <w:r w:rsidRPr="00057F08">
        <w:rPr>
          <w:b/>
          <w:bCs/>
        </w:rPr>
        <w:t>ChatGPT</w:t>
      </w:r>
      <w:r w:rsidRPr="00057F08">
        <w:t> </w:t>
      </w:r>
      <w:hyperlink r:id="rId18" w:history="1">
        <w:r w:rsidRPr="00057F08">
          <w:rPr>
            <w:rStyle w:val="Hypertextovodkaz"/>
            <w:b/>
            <w:bCs/>
          </w:rPr>
          <w:t>údajně podala</w:t>
        </w:r>
      </w:hyperlink>
      <w:r w:rsidRPr="00057F08">
        <w:rPr>
          <w:b/>
          <w:bCs/>
        </w:rPr>
        <w:t> oficiální žádost o IPO</w:t>
      </w:r>
      <w:r w:rsidRPr="00057F08">
        <w:t>, na burzu má vstoupit už v letošním čtvrtém čtvrtletí. Součástí plánů je i dřívější prodej části akcií, které drží zaměstnanci, a to formou </w:t>
      </w:r>
      <w:hyperlink r:id="rId19" w:history="1">
        <w:r w:rsidRPr="00057F08">
          <w:rPr>
            <w:rStyle w:val="Hypertextovodkaz"/>
          </w:rPr>
          <w:t>tender offeru</w:t>
        </w:r>
      </w:hyperlink>
      <w:r w:rsidRPr="00057F08">
        <w:t>. OpenAI chce využít AI mánii naplno, přičemž v prospektech se bude </w:t>
      </w:r>
      <w:hyperlink r:id="rId20" w:history="1">
        <w:r w:rsidRPr="00057F08">
          <w:rPr>
            <w:rStyle w:val="Hypertextovodkaz"/>
          </w:rPr>
          <w:t>nové číslo</w:t>
        </w:r>
      </w:hyperlink>
      <w:r w:rsidRPr="00057F08">
        <w:t> 1 miliardy uživatelů vyjímat obzvlášť krásně.</w:t>
      </w:r>
    </w:p>
    <w:p w14:paraId="517AC130" w14:textId="77777777" w:rsidR="00057F08" w:rsidRPr="00057F08" w:rsidRDefault="00057F08" w:rsidP="00057F08">
      <w:r w:rsidRPr="00057F08">
        <w:rPr>
          <w:b/>
          <w:bCs/>
        </w:rPr>
        <w:t>Ceny AI padají. Google</w:t>
      </w:r>
      <w:r w:rsidRPr="00057F08">
        <w:t> </w:t>
      </w:r>
      <w:hyperlink r:id="rId21" w:history="1">
        <w:r w:rsidRPr="00057F08">
          <w:rPr>
            <w:rStyle w:val="Hypertextovodkaz"/>
          </w:rPr>
          <w:t>snížil</w:t>
        </w:r>
      </w:hyperlink>
      <w:r w:rsidRPr="00057F08">
        <w:t> cenu svého AI nástroje </w:t>
      </w:r>
      <w:r w:rsidRPr="00057F08">
        <w:rPr>
          <w:b/>
          <w:bCs/>
        </w:rPr>
        <w:t>Gemini</w:t>
      </w:r>
      <w:r w:rsidRPr="00057F08">
        <w:t>, </w:t>
      </w:r>
      <w:r w:rsidRPr="00057F08">
        <w:rPr>
          <w:b/>
          <w:bCs/>
        </w:rPr>
        <w:t>OpenAI</w:t>
      </w:r>
      <w:r w:rsidRPr="00057F08">
        <w:t> prý výrazné snížení cen vážně </w:t>
      </w:r>
      <w:hyperlink r:id="rId22" w:history="1">
        <w:r w:rsidRPr="00057F08">
          <w:rPr>
            <w:rStyle w:val="Hypertextovodkaz"/>
          </w:rPr>
          <w:t>zvažuje</w:t>
        </w:r>
      </w:hyperlink>
      <w:r w:rsidRPr="00057F08">
        <w:t>. Chtějí tak posílit konkurenceschopnost vůči </w:t>
      </w:r>
      <w:r w:rsidRPr="00057F08">
        <w:rPr>
          <w:b/>
          <w:bCs/>
        </w:rPr>
        <w:t>Anthropicu</w:t>
      </w:r>
      <w:r w:rsidRPr="00057F08">
        <w:t> a jeho </w:t>
      </w:r>
      <w:r w:rsidRPr="00057F08">
        <w:rPr>
          <w:b/>
          <w:bCs/>
        </w:rPr>
        <w:t>Claudovi</w:t>
      </w:r>
      <w:r w:rsidRPr="00057F08">
        <w:t>, který ale plánuje podobné kroky. V AI sektoru tak propukla drsná </w:t>
      </w:r>
      <w:r w:rsidRPr="00057F08">
        <w:rPr>
          <w:b/>
          <w:bCs/>
        </w:rPr>
        <w:t>cenová válka</w:t>
      </w:r>
      <w:r w:rsidRPr="00057F08">
        <w:t>, kdy společnosti soupeří o uživatele i podíl na trhu. Vítězem tohoto souboje jsou ale především zákazníci, kteří za méně peněz získají více (AI) muziky.</w:t>
      </w:r>
    </w:p>
    <w:p w14:paraId="6D52389C" w14:textId="21D519C3" w:rsidR="00057F08" w:rsidRPr="00057F08" w:rsidRDefault="00057F08" w:rsidP="00057F08">
      <w:r w:rsidRPr="00057F08">
        <w:drawing>
          <wp:inline distT="0" distB="0" distL="0" distR="0" wp14:anchorId="26C177AA" wp14:editId="681C5426">
            <wp:extent cx="5943600" cy="4725035"/>
            <wp:effectExtent l="0" t="0" r="0" b="0"/>
            <wp:docPr id="1644188802" name="Obrázek 36" descr="Obrázek">
              <a:hlinkClick xmlns:a="http://schemas.openxmlformats.org/drawingml/2006/main" r:id="rId23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5" descr="Obrázek">
                      <a:hlinkClick r:id="rId23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725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52A147" w14:textId="77777777" w:rsidR="00057F08" w:rsidRPr="00057F08" w:rsidRDefault="00057F08" w:rsidP="00057F08">
      <w:r w:rsidRPr="00057F08">
        <w:rPr>
          <w:b/>
          <w:bCs/>
        </w:rPr>
        <w:lastRenderedPageBreak/>
        <w:t>Do bezpečného přístavu zatéká.</w:t>
      </w:r>
      <w:r w:rsidRPr="00057F08">
        <w:t> Cena </w:t>
      </w:r>
      <w:r w:rsidRPr="00057F08">
        <w:rPr>
          <w:b/>
          <w:bCs/>
        </w:rPr>
        <w:t>zlata se propadla</w:t>
      </w:r>
      <w:r w:rsidRPr="00057F08">
        <w:t> na šestiměsíční minimum k úrovním kolem </w:t>
      </w:r>
      <w:r w:rsidRPr="00057F08">
        <w:rPr>
          <w:b/>
          <w:bCs/>
        </w:rPr>
        <w:t>4 000 dolarů </w:t>
      </w:r>
      <w:r w:rsidRPr="00057F08">
        <w:t>za unci a žlutý kov </w:t>
      </w:r>
      <w:hyperlink r:id="rId25" w:history="1">
        <w:r w:rsidRPr="00057F08">
          <w:rPr>
            <w:rStyle w:val="Hypertextovodkaz"/>
          </w:rPr>
          <w:t>zažil</w:t>
        </w:r>
      </w:hyperlink>
      <w:r w:rsidRPr="00057F08">
        <w:t> nejhorší týden od března. Cena zlata výrazně klesá, protože silná data z amerického trhu práce a vyšší inflace znovu posouvají očekávání Fedu směrem k delšímu držení vysokých sazeb, případně i jejich dalšímu zvýšení. Vyšší výnosy amerických dluhopisů a silnější dolar vedly investory k odklonu od zlata, které nevyplácí úroky ani dividendy, a spustily tak výraznou vlnu prodejů. Ještě hůře je na tom stříbro, jeho cena se od lednových maxim propadla o 45 %.</w:t>
      </w:r>
    </w:p>
    <w:p w14:paraId="2B01C3C9" w14:textId="2AFD80C2" w:rsidR="00057F08" w:rsidRPr="00057F08" w:rsidRDefault="00057F08" w:rsidP="00057F08">
      <w:r w:rsidRPr="00057F08">
        <w:drawing>
          <wp:inline distT="0" distB="0" distL="0" distR="0" wp14:anchorId="67188A8C" wp14:editId="077EEAAC">
            <wp:extent cx="5943600" cy="3839210"/>
            <wp:effectExtent l="0" t="0" r="0" b="8890"/>
            <wp:docPr id="47352779" name="Obrázek 35" descr="Obrázek">
              <a:hlinkClick xmlns:a="http://schemas.openxmlformats.org/drawingml/2006/main" r:id="rId26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6" descr="Obrázek">
                      <a:hlinkClick r:id="rId26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839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C0C930" w14:textId="77777777" w:rsidR="00057F08" w:rsidRPr="00057F08" w:rsidRDefault="00057F08" w:rsidP="00057F08">
      <w:r w:rsidRPr="00057F08">
        <w:rPr>
          <w:b/>
          <w:bCs/>
        </w:rPr>
        <w:t>Zázračný Marvell v klubu.</w:t>
      </w:r>
      <w:r w:rsidRPr="00057F08">
        <w:t> Do indexu </w:t>
      </w:r>
      <w:r w:rsidRPr="00057F08">
        <w:rPr>
          <w:b/>
          <w:bCs/>
        </w:rPr>
        <w:t>S&amp;P 500</w:t>
      </w:r>
      <w:r w:rsidRPr="00057F08">
        <w:t> byl </w:t>
      </w:r>
      <w:hyperlink r:id="rId28" w:history="1">
        <w:r w:rsidRPr="00057F08">
          <w:rPr>
            <w:rStyle w:val="Hypertextovodkaz"/>
          </w:rPr>
          <w:t>zařazen</w:t>
        </w:r>
      </w:hyperlink>
      <w:r w:rsidRPr="00057F08">
        <w:t> výrobce čipů Marvell Technology, který těží z AI boomu. Jeho akcie letos vzrostly o </w:t>
      </w:r>
      <w:r w:rsidRPr="00057F08">
        <w:rPr>
          <w:b/>
          <w:bCs/>
        </w:rPr>
        <w:t>214 %</w:t>
      </w:r>
      <w:r w:rsidRPr="00057F08">
        <w:t>, k čemuž přispívá rostoucí poptávka, ale i požehnání generálního ředitele společnosti Nvidia. Jensen Huang prohlásil, že právě „Marvell bude další miliardovou firmou“. Akcie následně vyskočily o 36 %, na čemž si Nvidia pěkně namastila kapsy, protože do společnosti v březnu investovala 2 miliardy dolarů. Před přílišným optimismem a sázkami na konkrétní „čipové koně“ ale stejně raději varujeme.</w:t>
      </w:r>
    </w:p>
    <w:p w14:paraId="67F3281A" w14:textId="77777777" w:rsidR="00057F08" w:rsidRPr="00057F08" w:rsidRDefault="00057F08" w:rsidP="00057F08">
      <w:r w:rsidRPr="00057F08">
        <w:t>Zisky se točí. </w:t>
      </w:r>
      <w:r w:rsidRPr="00057F08">
        <w:rPr>
          <w:b/>
          <w:bCs/>
        </w:rPr>
        <w:t>Americké korporace ještě nikdy nebyly tak ziskové.</w:t>
      </w:r>
      <w:r w:rsidRPr="00057F08">
        <w:t> Provozní zisková marže firem v indexu S&amp;P 500 </w:t>
      </w:r>
      <w:hyperlink r:id="rId29" w:history="1">
        <w:r w:rsidRPr="00057F08">
          <w:rPr>
            <w:rStyle w:val="Hypertextovodkaz"/>
          </w:rPr>
          <w:t>dosáhla</w:t>
        </w:r>
      </w:hyperlink>
      <w:r w:rsidRPr="00057F08">
        <w:t> 20,3 % a čistá marže 15,1 %, což je v obou případech </w:t>
      </w:r>
      <w:r w:rsidRPr="00057F08">
        <w:rPr>
          <w:b/>
          <w:bCs/>
        </w:rPr>
        <w:t>historický rekord</w:t>
      </w:r>
      <w:r w:rsidRPr="00057F08">
        <w:t xml:space="preserve">. Z každého dolaru tržeb tak připadá 15 centů na čistý zisk. Důvodem je AI, i když ne v pravém slova smyslu. Implementace AI totiž zatím výrazně </w:t>
      </w:r>
      <w:r w:rsidRPr="00057F08">
        <w:lastRenderedPageBreak/>
        <w:t>nezvyšuje produktivitu, ale masivní investice do AI infrastruktury zvyšují ziskovost výrobců čipů a dalších dodavatelů. V souladu s tím rostou jejich akcie a také váha v celém indexu. A voilà – přepisujeme rekordy.</w:t>
      </w:r>
    </w:p>
    <w:p w14:paraId="76565C69" w14:textId="0F676F75" w:rsidR="00057F08" w:rsidRPr="00057F08" w:rsidRDefault="00057F08" w:rsidP="00057F08">
      <w:r w:rsidRPr="00057F08">
        <w:drawing>
          <wp:inline distT="0" distB="0" distL="0" distR="0" wp14:anchorId="33881C3D" wp14:editId="2A86C605">
            <wp:extent cx="5943600" cy="5605145"/>
            <wp:effectExtent l="0" t="0" r="0" b="0"/>
            <wp:docPr id="578022758" name="Obrázek 34" descr="Obrázek">
              <a:hlinkClick xmlns:a="http://schemas.openxmlformats.org/drawingml/2006/main" r:id="rId30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7" descr="Obrázek">
                      <a:hlinkClick r:id="rId30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605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2428B8" w14:textId="77777777" w:rsidR="00057F08" w:rsidRPr="00057F08" w:rsidRDefault="00057F08" w:rsidP="00057F08">
      <w:r w:rsidRPr="00057F08">
        <w:t>Kdo sní, ten má naději? </w:t>
      </w:r>
      <w:r w:rsidRPr="00057F08">
        <w:rPr>
          <w:b/>
          <w:bCs/>
        </w:rPr>
        <w:t>Sen o vlajkové lodi mezi evropskými stíhačkami se </w:t>
      </w:r>
      <w:hyperlink r:id="rId32" w:history="1">
        <w:r w:rsidRPr="00057F08">
          <w:rPr>
            <w:rStyle w:val="Hypertextovodkaz"/>
            <w:b/>
            <w:bCs/>
          </w:rPr>
          <w:t>rozplynul</w:t>
        </w:r>
      </w:hyperlink>
      <w:r w:rsidRPr="00057F08">
        <w:rPr>
          <w:b/>
          <w:bCs/>
        </w:rPr>
        <w:t> kvůli neshodám mezi Francií a Německem.</w:t>
      </w:r>
      <w:r w:rsidRPr="00057F08">
        <w:t> Projekt </w:t>
      </w:r>
      <w:hyperlink r:id="rId33" w:history="1">
        <w:r w:rsidRPr="00057F08">
          <w:rPr>
            <w:rStyle w:val="Hypertextovodkaz"/>
          </w:rPr>
          <w:t>FCAS</w:t>
        </w:r>
      </w:hyperlink>
      <w:r w:rsidRPr="00057F08">
        <w:t> vznikl v roce 2017 a měl nahradit francouzské stíhačky Rafale i německo-španělské Eurofightery a vytvořit protiváhu americkým F-35. Jednalo se o klíčový projekt společného evropského zbrojního průmyslu, který však ztroskotal na nejasném vedení, vlastnictví patentů, rozdělení práce, ale také na neshodě o možnosti nést jaderné bomby. Zatímco francouzsko-německý sen je pryč, Němci </w:t>
      </w:r>
      <w:hyperlink r:id="rId34" w:history="1">
        <w:r w:rsidRPr="00057F08">
          <w:rPr>
            <w:rStyle w:val="Hypertextovodkaz"/>
          </w:rPr>
          <w:t>začali</w:t>
        </w:r>
      </w:hyperlink>
      <w:r w:rsidRPr="00057F08">
        <w:t> snít o novém stíhacím letounu se Španěly.</w:t>
      </w:r>
    </w:p>
    <w:p w14:paraId="083B0F5C" w14:textId="77777777" w:rsidR="00057F08" w:rsidRPr="00057F08" w:rsidRDefault="00057F08" w:rsidP="00057F08">
      <w:r w:rsidRPr="00057F08">
        <w:lastRenderedPageBreak/>
        <w:t>Z luxusu do zákopů. </w:t>
      </w:r>
      <w:r w:rsidRPr="00057F08">
        <w:rPr>
          <w:b/>
          <w:bCs/>
        </w:rPr>
        <w:t>Mercedes-Benz</w:t>
      </w:r>
      <w:r w:rsidRPr="00057F08">
        <w:t> se </w:t>
      </w:r>
      <w:hyperlink r:id="rId35" w:history="1">
        <w:r w:rsidRPr="00057F08">
          <w:rPr>
            <w:rStyle w:val="Hypertextovodkaz"/>
          </w:rPr>
          <w:t>spojil</w:t>
        </w:r>
      </w:hyperlink>
      <w:r w:rsidRPr="00057F08">
        <w:t> s německým startupem Tytan Technologies a </w:t>
      </w:r>
      <w:r w:rsidRPr="00057F08">
        <w:rPr>
          <w:b/>
          <w:bCs/>
        </w:rPr>
        <w:t>vyrobí vozidla pro mobilní protidronovou obranu</w:t>
      </w:r>
      <w:r w:rsidRPr="00057F08">
        <w:t>. Memorandum stvrdil na veletrhu ILA 2026 a vsadí na modely třídy G a Sprinter. Stuttgartská firma tak do zbrojního průmyslu následuje Renault i Volkswagen. Evropské automobilky totiž bojují se strukturální krizí, slabou poptávkou po elektromobilech a levnou čínskou konkurencí. Základem nového armádního vozítka budou modely třídy G a Sprinter. Podle AI by </w:t>
      </w:r>
      <w:r w:rsidRPr="00057F08">
        <w:rPr>
          <w:b/>
          <w:bCs/>
        </w:rPr>
        <w:t>neměly </w:t>
      </w:r>
      <w:r w:rsidRPr="00057F08">
        <w:t>vypadat následovně.</w:t>
      </w:r>
    </w:p>
    <w:p w14:paraId="5CC90134" w14:textId="2619E3D0" w:rsidR="00057F08" w:rsidRPr="00057F08" w:rsidRDefault="00057F08" w:rsidP="00057F08">
      <w:r w:rsidRPr="00057F08">
        <w:drawing>
          <wp:inline distT="0" distB="0" distL="0" distR="0" wp14:anchorId="07B021E9" wp14:editId="4491BD59">
            <wp:extent cx="5943600" cy="3237865"/>
            <wp:effectExtent l="0" t="0" r="0" b="635"/>
            <wp:docPr id="312523949" name="Obrázek 33" descr="Obrázek">
              <a:hlinkClick xmlns:a="http://schemas.openxmlformats.org/drawingml/2006/main" r:id="rId36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8" descr="Obrázek">
                      <a:hlinkClick r:id="rId36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2378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401E5B" w14:textId="77777777" w:rsidR="00057F08" w:rsidRPr="00057F08" w:rsidRDefault="00057F08" w:rsidP="00057F08">
      <w:r w:rsidRPr="00057F08">
        <w:t>Kašleme na Hormuz. </w:t>
      </w:r>
      <w:r w:rsidRPr="00057F08">
        <w:rPr>
          <w:b/>
          <w:bCs/>
        </w:rPr>
        <w:t>Irák</w:t>
      </w:r>
      <w:r w:rsidRPr="00057F08">
        <w:t> a</w:t>
      </w:r>
      <w:r w:rsidRPr="00057F08">
        <w:rPr>
          <w:b/>
          <w:bCs/>
        </w:rPr>
        <w:t> Spojené arabské emiráty (SAE)</w:t>
      </w:r>
      <w:r w:rsidRPr="00057F08">
        <w:t> rychle </w:t>
      </w:r>
      <w:hyperlink r:id="rId38" w:history="1">
        <w:r w:rsidRPr="00057F08">
          <w:rPr>
            <w:rStyle w:val="Hypertextovodkaz"/>
          </w:rPr>
          <w:t>budují</w:t>
        </w:r>
      </w:hyperlink>
      <w:r w:rsidRPr="00057F08">
        <w:t> </w:t>
      </w:r>
      <w:r w:rsidRPr="00057F08">
        <w:rPr>
          <w:b/>
          <w:bCs/>
        </w:rPr>
        <w:t>nové ropovody</w:t>
      </w:r>
      <w:r w:rsidRPr="00057F08">
        <w:t>, aby snížily závislost na Hormuzském průlivu. Ten se stal vyjednávacím trumfem Íránu, což vyvíjí tlak na globální trh s ropou a znemožňuje její vývoz ze zemí Blízkého východu. Ropný kartel </w:t>
      </w:r>
      <w:r w:rsidRPr="00057F08">
        <w:rPr>
          <w:b/>
          <w:bCs/>
        </w:rPr>
        <w:t>OPEC </w:t>
      </w:r>
      <w:hyperlink r:id="rId39" w:history="1">
        <w:r w:rsidRPr="00057F08">
          <w:rPr>
            <w:rStyle w:val="Hypertextovodkaz"/>
          </w:rPr>
          <w:t>vyprodukoval</w:t>
        </w:r>
      </w:hyperlink>
      <w:r w:rsidRPr="00057F08">
        <w:rPr>
          <w:b/>
          <w:bCs/>
        </w:rPr>
        <w:t> nejméně ropy za posledních 26 let </w:t>
      </w:r>
      <w:r w:rsidRPr="00057F08">
        <w:t>a vývoz Iráku a SAE klesl na minimum. To je pro obě země obrovský problém, protože příjmy z ropy tvořily více než polovinu HDP Iráku a čtvrtinu HDP SAE.</w:t>
      </w:r>
    </w:p>
    <w:p w14:paraId="04D94335" w14:textId="69DC5220" w:rsidR="00057F08" w:rsidRPr="00057F08" w:rsidRDefault="00057F08" w:rsidP="00057F08">
      <w:r w:rsidRPr="00057F08">
        <w:lastRenderedPageBreak/>
        <w:drawing>
          <wp:inline distT="0" distB="0" distL="0" distR="0" wp14:anchorId="0B11A1A5" wp14:editId="523C2ECD">
            <wp:extent cx="4432300" cy="4210050"/>
            <wp:effectExtent l="0" t="0" r="6350" b="0"/>
            <wp:docPr id="2081273547" name="Obrázek 32" descr="Obrázek">
              <a:hlinkClick xmlns:a="http://schemas.openxmlformats.org/drawingml/2006/main" r:id="rId40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9" descr="Obrázek">
                      <a:hlinkClick r:id="rId40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32300" cy="4210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F3F9EF" w14:textId="77777777" w:rsidR="00057F08" w:rsidRPr="00057F08" w:rsidRDefault="00057F08" w:rsidP="00057F08">
      <w:r w:rsidRPr="00057F08">
        <w:rPr>
          <w:b/>
          <w:bCs/>
        </w:rPr>
        <w:t>BYD &gt; Toyota?</w:t>
      </w:r>
      <w:r w:rsidRPr="00057F08">
        <w:t> Čínská automobilka se </w:t>
      </w:r>
      <w:r w:rsidRPr="00057F08">
        <w:rPr>
          <w:b/>
          <w:bCs/>
        </w:rPr>
        <w:t>do 5 let stane největší na světě</w:t>
      </w:r>
      <w:r w:rsidRPr="00057F08">
        <w:t>. Alespoň to </w:t>
      </w:r>
      <w:hyperlink r:id="rId42" w:history="1">
        <w:r w:rsidRPr="00057F08">
          <w:rPr>
            <w:rStyle w:val="Hypertextovodkaz"/>
          </w:rPr>
          <w:t>tvrdí</w:t>
        </w:r>
      </w:hyperlink>
      <w:r w:rsidRPr="00057F08">
        <w:t> její šéf Wang Čchuan-fu. Bude to ale oříšek, protože BYD sice prodala 4,6 milionu vozů, což stačí na 6. místo ve světovém žebříčku, ale </w:t>
      </w:r>
      <w:r w:rsidRPr="00057F08">
        <w:rPr>
          <w:b/>
          <w:bCs/>
        </w:rPr>
        <w:t>Toyota jich prodala dvakrát tolik</w:t>
      </w:r>
      <w:r w:rsidRPr="00057F08">
        <w:t>. Je ovšem pravda, že vozy BYD se vynořují i na evropských silnicích jako houby po dešti. Wall Street to však nechápe, protože </w:t>
      </w:r>
      <w:r w:rsidRPr="00057F08">
        <w:rPr>
          <w:b/>
          <w:bCs/>
        </w:rPr>
        <w:t>cenová válka v Číně </w:t>
      </w:r>
      <w:hyperlink r:id="rId43" w:history="1">
        <w:r w:rsidRPr="00057F08">
          <w:rPr>
            <w:rStyle w:val="Hypertextovodkaz"/>
            <w:b/>
            <w:bCs/>
          </w:rPr>
          <w:t>stahuje</w:t>
        </w:r>
      </w:hyperlink>
      <w:r w:rsidRPr="00057F08">
        <w:rPr>
          <w:b/>
          <w:bCs/>
        </w:rPr>
        <w:t> akcie tamějších automobilek na minima</w:t>
      </w:r>
      <w:r w:rsidRPr="00057F08">
        <w:t>.</w:t>
      </w:r>
    </w:p>
    <w:p w14:paraId="33C809B6" w14:textId="77777777" w:rsidR="00057F08" w:rsidRPr="00057F08" w:rsidRDefault="00057F08" w:rsidP="00057F08">
      <w:r w:rsidRPr="00057F08">
        <w:t>Čínský úder na solár. Čína v roce 2025 </w:t>
      </w:r>
      <w:hyperlink r:id="rId44" w:history="1">
        <w:r w:rsidRPr="00057F08">
          <w:rPr>
            <w:rStyle w:val="Hypertextovodkaz"/>
            <w:b/>
            <w:bCs/>
          </w:rPr>
          <w:t>přidala</w:t>
        </w:r>
      </w:hyperlink>
      <w:r w:rsidRPr="00057F08">
        <w:rPr>
          <w:b/>
          <w:bCs/>
        </w:rPr>
        <w:t> 336 TWh nové solární výroby</w:t>
      </w:r>
      <w:r w:rsidRPr="00057F08">
        <w:t>, čímž </w:t>
      </w:r>
      <w:r w:rsidRPr="00057F08">
        <w:rPr>
          <w:b/>
          <w:bCs/>
        </w:rPr>
        <w:t>překonala celý zbytek světa dohromady</w:t>
      </w:r>
      <w:r w:rsidRPr="00057F08">
        <w:t> (300 TWh). Sama stála za 53 % všech globálních přírůstků a výroba elektřiny z nových solárů pokryla 75 % růstu světové spotřeby elektřiny. Toto tempo přineslo vzácný milník, kdy </w:t>
      </w:r>
      <w:r w:rsidRPr="00057F08">
        <w:rPr>
          <w:b/>
          <w:bCs/>
        </w:rPr>
        <w:t>globální produkce z fosilních paliv klesla i přes rostoucí poptávku</w:t>
      </w:r>
      <w:r w:rsidRPr="00057F08">
        <w:t>. Největší úbytek hlásí právě Čína a Indie, které omezily fosilní výrobu o 56 a 52 TWh díky rychlému rozvoji čisté energie. Mimo Čínu vede zbytek Asie s 90 TWh, následuje Severní Amerika s 86 TWh a Evropa s 80 TWh.</w:t>
      </w:r>
    </w:p>
    <w:p w14:paraId="1C295453" w14:textId="14382B17" w:rsidR="00057F08" w:rsidRPr="00057F08" w:rsidRDefault="00057F08" w:rsidP="00057F08">
      <w:r w:rsidRPr="00057F08">
        <w:lastRenderedPageBreak/>
        <w:drawing>
          <wp:inline distT="0" distB="0" distL="0" distR="0" wp14:anchorId="3E72DAAF" wp14:editId="3947D80D">
            <wp:extent cx="5943600" cy="7425690"/>
            <wp:effectExtent l="0" t="0" r="0" b="3810"/>
            <wp:docPr id="524672954" name="Obrázek 31" descr="Obrázek">
              <a:hlinkClick xmlns:a="http://schemas.openxmlformats.org/drawingml/2006/main" r:id="rId45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0" descr="Obrázek">
                      <a:hlinkClick r:id="rId45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4256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94B962" w14:textId="77777777" w:rsidR="00057F08" w:rsidRPr="00057F08" w:rsidRDefault="00057F08" w:rsidP="00057F08">
      <w:r w:rsidRPr="00057F08">
        <w:rPr>
          <w:b/>
          <w:bCs/>
        </w:rPr>
        <w:t>ČNB na tahu.</w:t>
      </w:r>
      <w:r w:rsidRPr="00057F08">
        <w:t> Meziroční </w:t>
      </w:r>
      <w:r w:rsidRPr="00057F08">
        <w:rPr>
          <w:b/>
          <w:bCs/>
        </w:rPr>
        <w:t>inflace v Česku v květnu zpomalila na 2,1 %</w:t>
      </w:r>
      <w:r w:rsidRPr="00057F08">
        <w:t xml:space="preserve">, zejména díky levnějším potravinám a nižším cenám některých spotřebních kategorií, zatímco pohonné hmoty dál výrazně zdražovaly a držely cenovou hladinu výše. Česká inflace tak byla nižší </w:t>
      </w:r>
      <w:r w:rsidRPr="00057F08">
        <w:lastRenderedPageBreak/>
        <w:t>než v okolních zemích, dosavadní růst cen energií se zatím výrazně nepřenáší do širší ekonomiky. Kvůli rostoucím cenám energií ale zároveň roste pravděpodobnost, že </w:t>
      </w:r>
      <w:r w:rsidRPr="00057F08">
        <w:rPr>
          <w:b/>
          <w:bCs/>
        </w:rPr>
        <w:t>Česká národní banka po delší pauze zvýší úrokové sazby</w:t>
      </w:r>
      <w:r w:rsidRPr="00057F08">
        <w:t>. Bankovní rada bude o sazbách rozhodovat příští týden a případné zpřísnění by znamenalo konec období stability.</w:t>
      </w:r>
    </w:p>
    <w:p w14:paraId="7C98DE82" w14:textId="77777777" w:rsidR="00057F08" w:rsidRPr="00057F08" w:rsidRDefault="00057F08" w:rsidP="00057F08">
      <w:r w:rsidRPr="00057F08">
        <w:rPr>
          <w:b/>
          <w:bCs/>
        </w:rPr>
        <w:t>Když se flipne vztah.</w:t>
      </w:r>
      <w:r w:rsidRPr="00057F08">
        <w:t> Spolupráce youtubera Juraje Sutorise a podnikatele Maxima Ponomarenka v realitním </w:t>
      </w:r>
      <w:r w:rsidRPr="00057F08">
        <w:rPr>
          <w:b/>
          <w:bCs/>
        </w:rPr>
        <w:t>byznysu s podíly na nemovitostech</w:t>
      </w:r>
      <w:r w:rsidRPr="00057F08">
        <w:t> </w:t>
      </w:r>
      <w:hyperlink r:id="rId47" w:history="1">
        <w:r w:rsidRPr="00057F08">
          <w:rPr>
            <w:rStyle w:val="Hypertextovodkaz"/>
          </w:rPr>
          <w:t>skončila</w:t>
        </w:r>
      </w:hyperlink>
      <w:r w:rsidRPr="00057F08">
        <w:t> </w:t>
      </w:r>
      <w:r w:rsidRPr="00057F08">
        <w:rPr>
          <w:b/>
          <w:bCs/>
        </w:rPr>
        <w:t>ostrým konfliktem, obviněními z podvodu a soudními spory </w:t>
      </w:r>
      <w:r w:rsidRPr="00057F08">
        <w:t>o rozdělení firem i zisků. Projekt, který měl být rychle rostoucí „flipovací“ byznys a lákal investory i účastníky drahých kurzů, se podle Sutorise rozpadl kvůli neshodám, netransparentnímu nakládání s penězi a zhoršujícím se vztahům mezi společníky. Ponomarenko čelí také sporům s investory a změnám ve vlastnické struktuře svých firem.</w:t>
      </w:r>
    </w:p>
    <w:p w14:paraId="0F9D0F73" w14:textId="77777777" w:rsidR="00057F08" w:rsidRPr="00057F08" w:rsidRDefault="00057F08" w:rsidP="00057F08">
      <w:r w:rsidRPr="00057F08">
        <w:t>Hezký víkend!</w:t>
      </w:r>
    </w:p>
    <w:p w14:paraId="2BAA721F" w14:textId="77777777" w:rsidR="0094491D" w:rsidRDefault="0094491D"/>
    <w:sectPr w:rsidR="0094491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568A"/>
    <w:rsid w:val="00057F08"/>
    <w:rsid w:val="00280212"/>
    <w:rsid w:val="002A1D51"/>
    <w:rsid w:val="0032448F"/>
    <w:rsid w:val="0052412B"/>
    <w:rsid w:val="0094491D"/>
    <w:rsid w:val="00AC49FB"/>
    <w:rsid w:val="00C34BD1"/>
    <w:rsid w:val="00C656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BEF097"/>
  <w15:chartTrackingRefBased/>
  <w15:docId w15:val="{11C47546-332B-4E1F-95A3-D20D7D3A4C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</w:style>
  <w:style w:type="paragraph" w:styleId="Nadpis1">
    <w:name w:val="heading 1"/>
    <w:basedOn w:val="Normln"/>
    <w:next w:val="Normln"/>
    <w:link w:val="Nadpis1Char"/>
    <w:uiPriority w:val="9"/>
    <w:qFormat/>
    <w:rsid w:val="00C6568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dpis2">
    <w:name w:val="heading 2"/>
    <w:basedOn w:val="Normln"/>
    <w:next w:val="Normln"/>
    <w:link w:val="Nadpis2Char"/>
    <w:uiPriority w:val="9"/>
    <w:semiHidden/>
    <w:unhideWhenUsed/>
    <w:qFormat/>
    <w:rsid w:val="00C6568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dpis3">
    <w:name w:val="heading 3"/>
    <w:basedOn w:val="Normln"/>
    <w:next w:val="Normln"/>
    <w:link w:val="Nadpis3Char"/>
    <w:uiPriority w:val="9"/>
    <w:semiHidden/>
    <w:unhideWhenUsed/>
    <w:qFormat/>
    <w:rsid w:val="00C6568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dpis4">
    <w:name w:val="heading 4"/>
    <w:basedOn w:val="Normln"/>
    <w:next w:val="Normln"/>
    <w:link w:val="Nadpis4Char"/>
    <w:uiPriority w:val="9"/>
    <w:semiHidden/>
    <w:unhideWhenUsed/>
    <w:qFormat/>
    <w:rsid w:val="00C6568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dpis5">
    <w:name w:val="heading 5"/>
    <w:basedOn w:val="Normln"/>
    <w:next w:val="Normln"/>
    <w:link w:val="Nadpis5Char"/>
    <w:uiPriority w:val="9"/>
    <w:semiHidden/>
    <w:unhideWhenUsed/>
    <w:qFormat/>
    <w:rsid w:val="00C6568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dpis6">
    <w:name w:val="heading 6"/>
    <w:basedOn w:val="Normln"/>
    <w:next w:val="Normln"/>
    <w:link w:val="Nadpis6Char"/>
    <w:uiPriority w:val="9"/>
    <w:semiHidden/>
    <w:unhideWhenUsed/>
    <w:qFormat/>
    <w:rsid w:val="00C6568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dpis7">
    <w:name w:val="heading 7"/>
    <w:basedOn w:val="Normln"/>
    <w:next w:val="Normln"/>
    <w:link w:val="Nadpis7Char"/>
    <w:uiPriority w:val="9"/>
    <w:semiHidden/>
    <w:unhideWhenUsed/>
    <w:qFormat/>
    <w:rsid w:val="00C6568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dpis8">
    <w:name w:val="heading 8"/>
    <w:basedOn w:val="Normln"/>
    <w:next w:val="Normln"/>
    <w:link w:val="Nadpis8Char"/>
    <w:uiPriority w:val="9"/>
    <w:semiHidden/>
    <w:unhideWhenUsed/>
    <w:qFormat/>
    <w:rsid w:val="00C6568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dpis9">
    <w:name w:val="heading 9"/>
    <w:basedOn w:val="Normln"/>
    <w:next w:val="Normln"/>
    <w:link w:val="Nadpis9Char"/>
    <w:uiPriority w:val="9"/>
    <w:semiHidden/>
    <w:unhideWhenUsed/>
    <w:qFormat/>
    <w:rsid w:val="00C6568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npsmoodstavce">
    <w:name w:val="Default Paragraph Font"/>
    <w:uiPriority w:val="1"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customStyle="1" w:styleId="Nadpis1Char">
    <w:name w:val="Nadpis 1 Char"/>
    <w:basedOn w:val="Standardnpsmoodstavce"/>
    <w:link w:val="Nadpis1"/>
    <w:uiPriority w:val="9"/>
    <w:rsid w:val="00C6568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dpis2Char">
    <w:name w:val="Nadpis 2 Char"/>
    <w:basedOn w:val="Standardnpsmoodstavce"/>
    <w:link w:val="Nadpis2"/>
    <w:uiPriority w:val="9"/>
    <w:semiHidden/>
    <w:rsid w:val="00C6568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dpis3Char">
    <w:name w:val="Nadpis 3 Char"/>
    <w:basedOn w:val="Standardnpsmoodstavce"/>
    <w:link w:val="Nadpis3"/>
    <w:uiPriority w:val="9"/>
    <w:semiHidden/>
    <w:rsid w:val="00C6568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dpis4Char">
    <w:name w:val="Nadpis 4 Char"/>
    <w:basedOn w:val="Standardnpsmoodstavce"/>
    <w:link w:val="Nadpis4"/>
    <w:uiPriority w:val="9"/>
    <w:semiHidden/>
    <w:rsid w:val="00C6568A"/>
    <w:rPr>
      <w:rFonts w:eastAsiaTheme="majorEastAsia" w:cstheme="majorBidi"/>
      <w:i/>
      <w:iCs/>
      <w:color w:val="0F4761" w:themeColor="accent1" w:themeShade="BF"/>
    </w:rPr>
  </w:style>
  <w:style w:type="character" w:customStyle="1" w:styleId="Nadpis5Char">
    <w:name w:val="Nadpis 5 Char"/>
    <w:basedOn w:val="Standardnpsmoodstavce"/>
    <w:link w:val="Nadpis5"/>
    <w:uiPriority w:val="9"/>
    <w:semiHidden/>
    <w:rsid w:val="00C6568A"/>
    <w:rPr>
      <w:rFonts w:eastAsiaTheme="majorEastAsia" w:cstheme="majorBidi"/>
      <w:color w:val="0F4761" w:themeColor="accent1" w:themeShade="BF"/>
    </w:rPr>
  </w:style>
  <w:style w:type="character" w:customStyle="1" w:styleId="Nadpis6Char">
    <w:name w:val="Nadpis 6 Char"/>
    <w:basedOn w:val="Standardnpsmoodstavce"/>
    <w:link w:val="Nadpis6"/>
    <w:uiPriority w:val="9"/>
    <w:semiHidden/>
    <w:rsid w:val="00C6568A"/>
    <w:rPr>
      <w:rFonts w:eastAsiaTheme="majorEastAsia" w:cstheme="majorBidi"/>
      <w:i/>
      <w:iCs/>
      <w:color w:val="595959" w:themeColor="text1" w:themeTint="A6"/>
    </w:rPr>
  </w:style>
  <w:style w:type="character" w:customStyle="1" w:styleId="Nadpis7Char">
    <w:name w:val="Nadpis 7 Char"/>
    <w:basedOn w:val="Standardnpsmoodstavce"/>
    <w:link w:val="Nadpis7"/>
    <w:uiPriority w:val="9"/>
    <w:semiHidden/>
    <w:rsid w:val="00C6568A"/>
    <w:rPr>
      <w:rFonts w:eastAsiaTheme="majorEastAsia" w:cstheme="majorBidi"/>
      <w:color w:val="595959" w:themeColor="text1" w:themeTint="A6"/>
    </w:rPr>
  </w:style>
  <w:style w:type="character" w:customStyle="1" w:styleId="Nadpis8Char">
    <w:name w:val="Nadpis 8 Char"/>
    <w:basedOn w:val="Standardnpsmoodstavce"/>
    <w:link w:val="Nadpis8"/>
    <w:uiPriority w:val="9"/>
    <w:semiHidden/>
    <w:rsid w:val="00C6568A"/>
    <w:rPr>
      <w:rFonts w:eastAsiaTheme="majorEastAsia" w:cstheme="majorBidi"/>
      <w:i/>
      <w:iCs/>
      <w:color w:val="272727" w:themeColor="text1" w:themeTint="D8"/>
    </w:rPr>
  </w:style>
  <w:style w:type="character" w:customStyle="1" w:styleId="Nadpis9Char">
    <w:name w:val="Nadpis 9 Char"/>
    <w:basedOn w:val="Standardnpsmoodstavce"/>
    <w:link w:val="Nadpis9"/>
    <w:uiPriority w:val="9"/>
    <w:semiHidden/>
    <w:rsid w:val="00C6568A"/>
    <w:rPr>
      <w:rFonts w:eastAsiaTheme="majorEastAsia" w:cstheme="majorBidi"/>
      <w:color w:val="272727" w:themeColor="text1" w:themeTint="D8"/>
    </w:rPr>
  </w:style>
  <w:style w:type="paragraph" w:styleId="Nzev">
    <w:name w:val="Title"/>
    <w:basedOn w:val="Normln"/>
    <w:next w:val="Normln"/>
    <w:link w:val="NzevChar"/>
    <w:uiPriority w:val="10"/>
    <w:qFormat/>
    <w:rsid w:val="00C6568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zevChar">
    <w:name w:val="Název Char"/>
    <w:basedOn w:val="Standardnpsmoodstavce"/>
    <w:link w:val="Nzev"/>
    <w:uiPriority w:val="10"/>
    <w:rsid w:val="00C6568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nadpis">
    <w:name w:val="Subtitle"/>
    <w:basedOn w:val="Normln"/>
    <w:next w:val="Normln"/>
    <w:link w:val="PodnadpisChar"/>
    <w:uiPriority w:val="11"/>
    <w:qFormat/>
    <w:rsid w:val="00C6568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nadpisChar">
    <w:name w:val="Podnadpis Char"/>
    <w:basedOn w:val="Standardnpsmoodstavce"/>
    <w:link w:val="Podnadpis"/>
    <w:uiPriority w:val="11"/>
    <w:rsid w:val="00C6568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t">
    <w:name w:val="Quote"/>
    <w:basedOn w:val="Normln"/>
    <w:next w:val="Normln"/>
    <w:link w:val="CittChar"/>
    <w:uiPriority w:val="29"/>
    <w:qFormat/>
    <w:rsid w:val="00C6568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tChar">
    <w:name w:val="Citát Char"/>
    <w:basedOn w:val="Standardnpsmoodstavce"/>
    <w:link w:val="Citt"/>
    <w:uiPriority w:val="29"/>
    <w:rsid w:val="00C6568A"/>
    <w:rPr>
      <w:i/>
      <w:iCs/>
      <w:color w:val="404040" w:themeColor="text1" w:themeTint="BF"/>
    </w:rPr>
  </w:style>
  <w:style w:type="paragraph" w:styleId="Odstavecseseznamem">
    <w:name w:val="List Paragraph"/>
    <w:basedOn w:val="Normln"/>
    <w:uiPriority w:val="34"/>
    <w:qFormat/>
    <w:rsid w:val="00C6568A"/>
    <w:pPr>
      <w:ind w:left="720"/>
      <w:contextualSpacing/>
    </w:pPr>
  </w:style>
  <w:style w:type="character" w:styleId="Zdraznnintenzivn">
    <w:name w:val="Intense Emphasis"/>
    <w:basedOn w:val="Standardnpsmoodstavce"/>
    <w:uiPriority w:val="21"/>
    <w:qFormat/>
    <w:rsid w:val="00C6568A"/>
    <w:rPr>
      <w:i/>
      <w:iCs/>
      <w:color w:val="0F4761" w:themeColor="accent1" w:themeShade="BF"/>
    </w:rPr>
  </w:style>
  <w:style w:type="paragraph" w:styleId="Vrazncitt">
    <w:name w:val="Intense Quote"/>
    <w:basedOn w:val="Normln"/>
    <w:next w:val="Normln"/>
    <w:link w:val="VrazncittChar"/>
    <w:uiPriority w:val="30"/>
    <w:qFormat/>
    <w:rsid w:val="00C6568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VrazncittChar">
    <w:name w:val="Výrazný citát Char"/>
    <w:basedOn w:val="Standardnpsmoodstavce"/>
    <w:link w:val="Vrazncitt"/>
    <w:uiPriority w:val="30"/>
    <w:rsid w:val="00C6568A"/>
    <w:rPr>
      <w:i/>
      <w:iCs/>
      <w:color w:val="0F4761" w:themeColor="accent1" w:themeShade="BF"/>
    </w:rPr>
  </w:style>
  <w:style w:type="character" w:styleId="Odkazintenzivn">
    <w:name w:val="Intense Reference"/>
    <w:basedOn w:val="Standardnpsmoodstavce"/>
    <w:uiPriority w:val="32"/>
    <w:qFormat/>
    <w:rsid w:val="00C6568A"/>
    <w:rPr>
      <w:b/>
      <w:bCs/>
      <w:smallCaps/>
      <w:color w:val="0F4761" w:themeColor="accent1" w:themeShade="BF"/>
      <w:spacing w:val="5"/>
    </w:rPr>
  </w:style>
  <w:style w:type="character" w:styleId="Hypertextovodkaz">
    <w:name w:val="Hyperlink"/>
    <w:basedOn w:val="Standardnpsmoodstavce"/>
    <w:uiPriority w:val="99"/>
    <w:unhideWhenUsed/>
    <w:rsid w:val="00C6568A"/>
    <w:rPr>
      <w:color w:val="467886" w:themeColor="hyperlink"/>
      <w:u w:val="single"/>
    </w:rPr>
  </w:style>
  <w:style w:type="character" w:styleId="Nevyeenzmnka">
    <w:name w:val="Unresolved Mention"/>
    <w:basedOn w:val="Standardnpsmoodstavce"/>
    <w:uiPriority w:val="99"/>
    <w:semiHidden/>
    <w:unhideWhenUsed/>
    <w:rsid w:val="00C6568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magazin.portu.cz/37562-2/" TargetMode="External"/><Relationship Id="rId18" Type="http://schemas.openxmlformats.org/officeDocument/2006/relationships/hyperlink" Target="https://www.cnbc.com/2026/06/08/openai-confidentially-files-for-ipo-prepping-wall-street-for-ai-debut.html" TargetMode="External"/><Relationship Id="rId26" Type="http://schemas.openxmlformats.org/officeDocument/2006/relationships/hyperlink" Target="https://magazin.portu.cz/wp-content/uploads/2026/06/osVds-vyvoj-ceny-zlata-a-stribra-od-zacatku-roku-2026-.png" TargetMode="External"/><Relationship Id="rId39" Type="http://schemas.openxmlformats.org/officeDocument/2006/relationships/hyperlink" Target="https://forbes.cz/tezba-opec-byla-v-kvetnu-nejnizsi-nejmene-od-roku-2000-na-vine-je-blokada-iranu-a-hormuz/" TargetMode="External"/><Relationship Id="rId21" Type="http://schemas.openxmlformats.org/officeDocument/2006/relationships/hyperlink" Target="https://techcrunch.com/2026/06/09/google-just-fired-a-warning-shot-in-the-ai-subscription-price-wars/" TargetMode="External"/><Relationship Id="rId34" Type="http://schemas.openxmlformats.org/officeDocument/2006/relationships/hyperlink" Target="https://www.euractiv.com/news/german-and-spanish-companies-pitch-themselves-for-alternative-fcas-jet/" TargetMode="External"/><Relationship Id="rId42" Type="http://schemas.openxmlformats.org/officeDocument/2006/relationships/hyperlink" Target="https://fdrive.cz/clanky/byd-pry-bude-do-peti-let-nejvetsi-automobilkou-sveta-i-kdyz-doma-ztraci-16836" TargetMode="External"/><Relationship Id="rId47" Type="http://schemas.openxmlformats.org/officeDocument/2006/relationships/hyperlink" Target="https://www.seznamzpravy.cz/clanek/ekonomika-finance-rozjeli-byznys-s-podily-v-nemovitostech-ted-zbyly-pachut-a-hadka-o-penize-308285" TargetMode="External"/><Relationship Id="rId7" Type="http://schemas.openxmlformats.org/officeDocument/2006/relationships/hyperlink" Target="https://www.novinky.cz/clanek/ekonomika-nejhorsi-vysledek-od-zacatku-konfliktu-mira-inflace-v-usa-vystoupila-na-42-procenta-40582582" TargetMode="External"/><Relationship Id="rId2" Type="http://schemas.openxmlformats.org/officeDocument/2006/relationships/settings" Target="settings.xml"/><Relationship Id="rId16" Type="http://schemas.openxmlformats.org/officeDocument/2006/relationships/image" Target="media/image4.png"/><Relationship Id="rId29" Type="http://schemas.openxmlformats.org/officeDocument/2006/relationships/hyperlink" Target="https://sherwood.news/markets/corporate-america-has-never-been-this-profitable/" TargetMode="External"/><Relationship Id="rId11" Type="http://schemas.openxmlformats.org/officeDocument/2006/relationships/hyperlink" Target="https://magazin.portu.cz/wp-content/uploads/2026/06/wbTcA-vyvoj-mezirocni-inflace-cr-a-dvoutydenni-reposazby-cnb-.png" TargetMode="External"/><Relationship Id="rId24" Type="http://schemas.openxmlformats.org/officeDocument/2006/relationships/image" Target="media/image5.png"/><Relationship Id="rId32" Type="http://schemas.openxmlformats.org/officeDocument/2006/relationships/hyperlink" Target="https://www.euronews.com/my-europe/2026/06/09/france-and-germany-abandon-joint-fighter-jet-project-as-companies-unable-to-reach-agreemen" TargetMode="External"/><Relationship Id="rId37" Type="http://schemas.openxmlformats.org/officeDocument/2006/relationships/image" Target="media/image8.png"/><Relationship Id="rId40" Type="http://schemas.openxmlformats.org/officeDocument/2006/relationships/hyperlink" Target="https://magazin.portu.cz/wp-content/uploads/2026/06/2f32a531-559a-403d-ba69-5e9bc5d3f6c8.png" TargetMode="External"/><Relationship Id="rId45" Type="http://schemas.openxmlformats.org/officeDocument/2006/relationships/hyperlink" Target="https://magazin.portu.cz/wp-content/uploads/2026/06/solar-china.png" TargetMode="External"/><Relationship Id="rId5" Type="http://schemas.openxmlformats.org/officeDocument/2006/relationships/image" Target="media/image1.png"/><Relationship Id="rId15" Type="http://schemas.openxmlformats.org/officeDocument/2006/relationships/hyperlink" Target="https://magazin.portu.cz/wp-content/uploads/2026/06/Snimka-obrazovky-2026-06-12-133413.png" TargetMode="External"/><Relationship Id="rId23" Type="http://schemas.openxmlformats.org/officeDocument/2006/relationships/hyperlink" Target="https://magazin.portu.cz/wp-content/uploads/2026/06/image-17_1.png" TargetMode="External"/><Relationship Id="rId28" Type="http://schemas.openxmlformats.org/officeDocument/2006/relationships/hyperlink" Target="https://sherwood.news/markets/marvell-and-flex-rise-on-s-and-p-500-inclusion-announcement/" TargetMode="External"/><Relationship Id="rId36" Type="http://schemas.openxmlformats.org/officeDocument/2006/relationships/hyperlink" Target="https://magazin.portu.cz/wp-content/uploads/2026/06/Gemini_Generated_Image_ysa8z0ysa8z0ysa8-1500x818.png" TargetMode="External"/><Relationship Id="rId49" Type="http://schemas.openxmlformats.org/officeDocument/2006/relationships/theme" Target="theme/theme1.xml"/><Relationship Id="rId10" Type="http://schemas.openxmlformats.org/officeDocument/2006/relationships/hyperlink" Target="https://www.seznamzpravy.cz/clanek/ekonomika-finance-inflace-meni-plany-centralnich-bank-utazeni-sroubu-od-ecb-berou-trhy-jako-jiste-308242" TargetMode="External"/><Relationship Id="rId19" Type="http://schemas.openxmlformats.org/officeDocument/2006/relationships/hyperlink" Target="https://en.wikipedia.org/wiki/Tender_offer" TargetMode="External"/><Relationship Id="rId31" Type="http://schemas.openxmlformats.org/officeDocument/2006/relationships/image" Target="media/image7.png"/><Relationship Id="rId44" Type="http://schemas.openxmlformats.org/officeDocument/2006/relationships/hyperlink" Target="https://www.visualcapitalist.com/china-overshadows-the-world-in-2025-solar-power-growth/" TargetMode="External"/><Relationship Id="rId4" Type="http://schemas.openxmlformats.org/officeDocument/2006/relationships/hyperlink" Target="https://magazin.portu.cz/wp-content/uploads/2026/06/oOq8M-newsletter-tabulka-s-google-sheets-12-06-2026-1-1500x561.png" TargetMode="External"/><Relationship Id="rId9" Type="http://schemas.openxmlformats.org/officeDocument/2006/relationships/image" Target="media/image2.png"/><Relationship Id="rId14" Type="http://schemas.openxmlformats.org/officeDocument/2006/relationships/hyperlink" Target="https://www.portu.cz/strategie/seznam-instrumentu/" TargetMode="External"/><Relationship Id="rId22" Type="http://schemas.openxmlformats.org/officeDocument/2006/relationships/hyperlink" Target="https://www.cnbc.com/2026/06/11/openai-mulls-slashing-prices-ahead-of-competition-from-anthropic-wsj.html" TargetMode="External"/><Relationship Id="rId27" Type="http://schemas.openxmlformats.org/officeDocument/2006/relationships/image" Target="media/image6.png"/><Relationship Id="rId30" Type="http://schemas.openxmlformats.org/officeDocument/2006/relationships/hyperlink" Target="https://magazin.portu.cz/wp-content/uploads/2026/06/bbe10d59-12ea-4d4b-bf03-3ebab6aee9ea-1500x1416.png" TargetMode="External"/><Relationship Id="rId35" Type="http://schemas.openxmlformats.org/officeDocument/2006/relationships/hyperlink" Target="https://www.cnbc.com/2026/06/11/ais-impact-on-economic-growth-kkr.html" TargetMode="External"/><Relationship Id="rId43" Type="http://schemas.openxmlformats.org/officeDocument/2006/relationships/hyperlink" Target="https://sherwood.news/markets/chinese-ev-makers-sink-to-52-week-lows-as-regulators-warn-about-price-war/" TargetMode="External"/><Relationship Id="rId48" Type="http://schemas.openxmlformats.org/officeDocument/2006/relationships/fontTable" Target="fontTable.xml"/><Relationship Id="rId8" Type="http://schemas.openxmlformats.org/officeDocument/2006/relationships/hyperlink" Target="https://magazin.portu.cz/wp-content/uploads/2026/06/0kvOe-vyvoj-mezirocni-inflace-v-usa-a-klicove-urokove-sazby-fedu-.png" TargetMode="External"/><Relationship Id="rId3" Type="http://schemas.openxmlformats.org/officeDocument/2006/relationships/webSettings" Target="webSettings.xml"/><Relationship Id="rId12" Type="http://schemas.openxmlformats.org/officeDocument/2006/relationships/image" Target="media/image3.png"/><Relationship Id="rId17" Type="http://schemas.openxmlformats.org/officeDocument/2006/relationships/hyperlink" Target="https://finance.yahoo.com/markets/stocks/articles/spacex-cafeteria-workers-poised-become-195500147.html" TargetMode="External"/><Relationship Id="rId25" Type="http://schemas.openxmlformats.org/officeDocument/2006/relationships/hyperlink" Target="https://www.cnbc.com/2026/06/11/gold-slumps-to-6-month-low-even-as-inflation-fears-rise-heres-why-bullion-is-out-of-favor.html" TargetMode="External"/><Relationship Id="rId33" Type="http://schemas.openxmlformats.org/officeDocument/2006/relationships/hyperlink" Target="https://www.airbus.com/en/products-services/defence/future-combat-air-system-fcas" TargetMode="External"/><Relationship Id="rId38" Type="http://schemas.openxmlformats.org/officeDocument/2006/relationships/hyperlink" Target="https://www.cnbc.com/2026/06/09/iraq-uae-hormuz-oil-pipelines-oil-iran-war.html" TargetMode="External"/><Relationship Id="rId46" Type="http://schemas.openxmlformats.org/officeDocument/2006/relationships/image" Target="media/image10.png"/><Relationship Id="rId20" Type="http://schemas.openxmlformats.org/officeDocument/2006/relationships/hyperlink" Target="https://www.cnbc.com/2026/06/12/chatgpt-a-billion-monthly-app-users-despite-souring-public-ai-sentiment.html" TargetMode="External"/><Relationship Id="rId41" Type="http://schemas.openxmlformats.org/officeDocument/2006/relationships/image" Target="media/image9.png"/><Relationship Id="rId1" Type="http://schemas.openxmlformats.org/officeDocument/2006/relationships/styles" Target="styles.xml"/><Relationship Id="rId6" Type="http://schemas.openxmlformats.org/officeDocument/2006/relationships/hyperlink" Target="https://zahranicni.hn.cz/c1-67890350-trump-odvolal-utoky-na-iran-tvrdi-ze-bdquo-brzy-oznami-misto-a-datum-ldquo-mirove-dohody-ropa-zacala-zlevnovat" TargetMode="External"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11</Pages>
  <Words>1807</Words>
  <Characters>10300</Characters>
  <Application>Microsoft Office Word</Application>
  <DocSecurity>0</DocSecurity>
  <Lines>85</Lines>
  <Paragraphs>24</Paragraphs>
  <ScaleCrop>false</ScaleCrop>
  <Company/>
  <LinksUpToDate>false</LinksUpToDate>
  <CharactersWithSpaces>12083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Marek Pokorny, Portu.cz</dc:creator>
  <cp:keywords/>
  <dc:description/>
  <cp:lastModifiedBy>Marek Pokorny, Portu.cz</cp:lastModifiedBy>
  <cp:revision>4</cp:revision>
  <dcterms:created xsi:type="dcterms:W3CDTF">2026-08-17T08:56:00Z</dcterms:created>
  <dcterms:modified xsi:type="dcterms:W3CDTF">2026-08-17T08:57:00Z</dcterms:modified>
</cp:coreProperties>
</file>