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Zatímco před válkou projelo průlivem se zapnutým transpondérem i přes sto obchodních lodí denně, od března jich jsou jen jednotky.</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Saúdská Arábie ho 22. září znovu spustila a do konce měsíce jím proudilo nejméně 3,5 milionu barelů denně. Čtvrtletí uzavřel těsně pod 100 dolary, o 34 % výš než na jeho začátku. Od začátku roku je ropa dražší zhruba o 60 %.</w:t>
      </w:r>
    </w:p>
    <w:p>
      <w:r>
        <w:t xml:space="preserve">Trh se přitom omezením dokázal do značné míry přizpůsobit. Vývoz ropy z Perského zálivu bez Íránu se v září vrátil na více než 80 % předválečné úrovně a Saúdská Arábie ho oproti srpnu zvýšila ze 4,2 na zhruba 6,6 milionu barelů denně. Ropa si našla jiné cesty: zhruba 40 % ropy z regionu teď odchází mimo Hormuzský průliv, před válkou to bylo jen 17 %. Další část se překládá z lodi na loď v Ománském zálivu. Íránský vývoz naopak klesl prakticky na nulu.</w:t>
      </w:r>
    </w:p>
    <w:p>
      <w:r>
        <w:t xml:space="preserve">Úzkým hrdlem se ale staly rafinerie. Ukrajinské drony letos zasáhly ruské rafinerie nejméně 70krát a Rusko kvůli tomu zakázalo vývoz nafty. Rafinerie v Perském zálivu navíc vyvážely jen asi 60 % předválečného objemu paliv. Nejvíc se to projevilo na naftě. Takzvaný crack spread, tedy rozdíl mezi cenou nafty a ropy, ukazuje, kolik rafinerie vydělají na zpracování jednoho barelu. V září vystoupal na rekordních zhruba 100 dolarů, protože nafty byl nedostatek a kupci byli ochotní za ni platit výrazně víc. Nafta proto zdražila mnohem víc než benzin a nejvíc to pocítila Evropa, která naftu dováží.</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byly hvězdami jara,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Ponaučení je stejné jako minule a toto čtvrtletí ho dobře ilustruje. Vítězové na trzích se rychle střídají. Kdo na jaře vsadil vše na čipy, které byly v módě, a v létě je včas neprodal, přišel o velkou část zisků. Právě v tom je aktivní investování nejtěžší. Nestačí trefit správný okamžik pro nákup, stejně přesně je potřeba odhadnout i okamžik prodeje, a to se dlouhodobě nedaří ani profesionálům. V prvním pololetí 2026 zaostaly za indexem S&amp;P 500 dvě třetiny aktivně řízených fondů zaměřených na velké americké firmy a za posledních deset let dokonce 83 % z nich. Pasivní investor takové rozhodování dělat nemusí. Drží celý trh prostřednictvím ETF, takže automaticky vlastní i firmy, které právě rostou, a ztráty jednotlivých sektorů se v portfoliu rozloží. Navíc platí nižší poplatky a nehrozí mu, že nakoupí nebo prodá ve špatnou chvíli. Proto i naše široce rozložená portfolia ve třetím čtvrtletí zachytila zisky amerických akcií a ztráty jiných segmentů tlumila.</w:t>
      </w:r>
    </w:p>
    <w:p>
      <w:pPr>
        <w:pStyle w:val="Heading2"/>
      </w:pPr>
      <w:r>
        <w:t xml:space="preserve">Výhled na konec roku</w:t>
      </w:r>
    </w:p>
    <w:p>
      <w:r>
        <w:t xml:space="preserve">Ropa zůstane hlavním zdrojem nejistoty i v posledním čtvrtletí. Surové ropy je na trhu postupně víc, ceny ale bude dál držet vysoko silná globální poptávka a nedostatek kapacit na její zpracování. Pokud by se podařilo obnovit volnou plavbu Hormuzským průlivem, ropa může rychle zlevnit, podobně jako na jaře, při novém vyostření konfliktu by naopak dál zdražovala. Energetická rizika pro inflaci s námi ale zůstanou v každém případě a v Evropě se dražší energie naplno propíše do cen pro domácnosti a firmy pravděpodobně až v příštím roce, kdy dodavatelé ceny přecení.</w:t>
      </w:r>
    </w:p>
    <w:p>
      <w:r>
        <w:t xml:space="preserve">Do konce roku mají investoři v kalendáři několik důležitých dat. Fed rozhoduje o sazbách 28. října a 9. prosince, ECB 29. října a ČNB 5. listopadu, 3. listopadu se navíc v USA volí do Kongresu. Na zasedáních centrálních bank se ukáže, zda už je zvyšování sazeb u konce, nebo zda budou muset přitlačit ještě víc. Pro dluhopisy i pro akcie s vysokým oceněním by byl hlavním rizikem další prudký růst výnosů, a proto jejich vývoj pozorně sledujeme.</w:t>
      </w:r>
    </w:p>
    <w:p>
      <w:r>
        <w:t xml:space="preserve">Francouzský výprodej dluhopisů považujeme spíš za krátkodobou a nárazovou záležitost. Kdyby ale pokračoval, stal by se rizikem pro evropské dluhopisy, akcie i euro.</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Třetí čtvrtletí ukázalo, že i v roce, kdy se portfoliím daří, přijdou měsíce, které výsledek na chvíli srazí. Krátkodobé výkyvy způsobené ropou nebo sazbami k investování patří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t xml:space="preserve">Investiční komise se schází pravidelně a vývoj třetího čtvrtletí jsme spolu podrobně prošli. Na plánu, o kterém jsme psali v předchozích zprávách, nic neměníme. Uplynulé tři měsíce nám naopak potvrdily, že míří správným směrem.</w:t>
      </w:r>
    </w:p>
    <w:p>
      <w:r>
        <w:t xml:space="preserve">Prvním krokem je posílení amerických akcií. Americké firmy dál zvyšují zisky rychleji, než analytici čekali, a americká ekonomika se i přes drahou ropu a vyšší sazby ukázala jako odolná. Americké akcie se ve třetím čtvrtletí z hlavních tříd aktiv vedly nejlépe.</w:t>
      </w:r>
    </w:p>
    <w:p>
      <w:r>
        <w:t xml:space="preserve">Prostor pro vyšší váhu Ameriky chceme získat hlavně snížením podílu globálních akcií malých firem. Vývoj ve třetím čtvrtletí tento krok podpořil. Americký index malých firem Russell 2000 od 30. června do 30. září ztratil 7,5 %, zatímco index velkých firem S&amp;P 500 ve stejném období rostl. Menší firmy jsou víc závislé na úvěrech, a když sazby rostou, jejich financování zdražuje rychleji než u velkých firem. Výhled na další zvyšování sazeb jim proto nepřeje.</w:t>
      </w:r>
    </w:p>
    <w:p>
      <w:r>
        <w:t xml:space="preserve">Třetí změnou je odchod z dlouhodobých amerických státních dluhopisů. Do prostředí, kde inflace zůstává zvýšená a centrální banky sazby spíš zvyšují, nesedí. Jejich cena na růst sazeb reaguje nejcitlivěji, a proto byly ve třetím čtvrtletí nejslabší třídou aktiv v našich portfoliích. Kratší dluhopisy dnes nabízejí zajímavý výnos s mnohem menším kolísáním.</w:t>
      </w:r>
    </w:p>
    <w:p>
      <w:r>
        <w:t xml:space="preserve">Kdy přesně změny provedeme, rozhodne komise podle vývoje na trzích. Klienti s aktivním režimem schvalování změn se o nich dozví s předstihem a sami rozhodnou, zda je přijmou.</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2026-10-08T09:23:02.045Z</dcterms:created>
  <dcterms:modified xsi:type="dcterms:W3CDTF">2026-10-08T09:23:02.051Z</dcterms:modified>
</cp:coreProperties>
</file>

<file path=docProps/custom.xml><?xml version="1.0" encoding="utf-8"?>
<Properties xmlns="http://schemas.openxmlformats.org/officeDocument/2006/custom-properties" xmlns:vt="http://schemas.openxmlformats.org/officeDocument/2006/docPropsVTypes"/>
</file>