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Zhruba čtvrtinu prostředků má v dluhopisech, včetně dlouhodobých amerických státních a firemních dluhopisů, a v jeho akciové části jsou i akcie menších firem, kterým se nedařilo.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pomohlo, protože zahraniční aktiva v korunách zdražila.</w:t>
      </w:r>
    </w:p>
    <w:p>
      <w:r>
        <w:t xml:space="preserve">Klienty s dlouhodobým investičním produktem (DIP) potěší ještě jedna změna: od září jsme snížili poplatek za jeho správu z 0,5 % na 0,3 % ročně.</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kolik má portfolio dluhopisů s dlouhou splatností, které v létě zlevnily nejvíce.</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2026-10-07T07:49:04.367Z</dcterms:created>
  <dcterms:modified xsi:type="dcterms:W3CDTF">2026-10-07T07:49:04.372Z</dcterms:modified>
</cp:coreProperties>
</file>

<file path=docProps/custom.xml><?xml version="1.0" encoding="utf-8"?>
<Properties xmlns="http://schemas.openxmlformats.org/officeDocument/2006/custom-properties" xmlns:vt="http://schemas.openxmlformats.org/officeDocument/2006/docPropsVTypes"/>
</file>