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Hormuzským průlivem v posledních týdnech proplouvá více ropy, silná globální poptávka ale drží její cenu vysoko. Pokud se podaří obnovit volnou plavbu průlivem a opravit saúdský ropovod, ropa může rychle zlevnit, podobně jako na jaře, a s ní by polevila inflace. Pokud konflikt přetrvá, počítáme s dražší energií, vyšší inflací a dalším tlakem na sazby i dluhopisy. Energetická rizika pro inflaci s námi ale zůstanou v každém případě. V Evropě hrozí, že se dražší energie naplno propíše do cen pro domácnosti a firmy až v příštím roce, kdy dodavatelé ceny přecení.</w:t>
      </w:r>
    </w:p>
    <w:p>
      <w:r>
        <w:t xml:space="preserve">Druhou proměnnou jsou sazby a veřejné finance. Fed signalizuje ještě jedno zvýšení do konce roku a riziko ještě vyšších sazeb vidíme v USA i v Evropě. Proto pozorně sledujeme vývoj výnosů státních dluhopisů. Trh bude bedlivě sledovat i volby do Kongresu 3. listopadu, předvolební sliby a to, jak snadno se USA dokážou financovat. Případný další prudký růst výnosů by byl hlavním rizikem pro dluhopisy i pro akcie s vysokým oceněním.</w:t>
      </w:r>
    </w:p>
    <w:p>
      <w:r>
        <w:t xml:space="preserve">Třetím rizikem je Francie. Kdyby výprodej jejích dluhopisů pokračoval, ohrozil by všechny typy evropských aktiv: dluhopisy, akcie, zejména bank, které francouzské dluhopisy drží, i samotné euro. Otázkou je, jak dlouho francouzský pesimismus vydrží. Podle nás jde spíš o krátkodobou a nárazovou záležitost.</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2026-10-07T13:21:59.127Z</dcterms:created>
  <dcterms:modified xsi:type="dcterms:W3CDTF">2026-10-07T13:21:59.134Z</dcterms:modified>
</cp:coreProperties>
</file>

<file path=docProps/custom.xml><?xml version="1.0" encoding="utf-8"?>
<Properties xmlns="http://schemas.openxmlformats.org/officeDocument/2006/custom-properties" xmlns:vt="http://schemas.openxmlformats.org/officeDocument/2006/docPropsVTypes"/>
</file>