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byly hvězdami jara,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Ponaučení je stejné jako minule a toto čtvrtletí ho dobře ilustruje. Vítězové na trzích se rychle střídají. Kdo na jaře vsadil vše na čipy, které byly v módě, a v létě je včas neprodal, přišel o velkou část zisků. Právě v tom je aktivní investování nejtěžší. Nestačí trefit správný okamžik pro nákup, stejně přesně je potřeba odhadnout i okamžik prodeje, a to se dlouhodobě nedaří ani profesionálům. V prvním pololetí 2026 zaostaly za indexem S&amp;P 500 dvě třetiny aktivně řízených fondů zaměřených na velké americké firmy a za posledních deset let dokonce 83 % z nich. Pasivní investor takové rozhodování dělat nemusí. Drží celý trh prostřednictvím ETF, takže automaticky vlastní i firmy, které právě rostou, a ztráty jednotlivých sektorů se v portfoliu rozloží. Navíc platí nižší poplatky a nehrozí mu, že nakoupí nebo prodá ve špatnou chvíli. Proto i naše široce rozložená portfolia ve třetím čtvrtletí zachytila zisky amerických akcií a ztráty jiných segmentů tlumila.</w:t>
      </w:r>
    </w:p>
    <w:p>
      <w:pPr>
        <w:pStyle w:val="Heading2"/>
      </w:pPr>
      <w:r>
        <w:t xml:space="preserve">Výhled na konec roku</w:t>
      </w:r>
    </w:p>
    <w:p>
      <w:r>
        <w:t xml:space="preserve">Klíčovou proměnnou zůstává Blízký východ. Hormuzským průlivem v posledních týdnech proplouvá více ropy, silná globální poptávka ale drží její cenu vysoko. Pokud se podaří obnovit volnou plavbu průlivem a opravit saúdský ropovod, ropa může rychle zlevnit, podobně jako na jaře, a s ní by polevila inflace. Pokud konflikt přetrvá, počítáme s dražší energií, vyšší inflací a dalším tlakem na sazby i dluhopisy. Energetická rizika pro inflaci s námi ale zůstanou v každém případě. V Evropě hrozí, že se dražší energie naplno propíše do cen pro domácnosti a firmy až v příštím roce, kdy dodavatelé ceny přecení.</w:t>
      </w:r>
    </w:p>
    <w:p>
      <w:r>
        <w:t xml:space="preserve">Druhou proměnnou jsou sazby a veřejné finance. Fed signalizuje ještě jedno zvýšení do konce roku a riziko ještě vyšších sazeb vidíme v USA i v Evropě. Proto pozorně sledujeme vývoj výnosů státních dluhopisů. Trh bude bedlivě sledovat i volby do Kongresu 3. listopadu, předvolební sliby a to, jak snadno se USA dokážou financovat. Případný další prudký růst výnosů by byl hlavním rizikem pro dluhopisy i pro akcie s vysokým oceněním.</w:t>
      </w:r>
    </w:p>
    <w:p>
      <w:r>
        <w:t xml:space="preserve">Třetím rizikem je Francie. Kdyby výprodej jejích dluhopisů pokračoval, ohrozil by evropské dluhopisy, akcie i samotné euro. Nejvíce by doplatily banky, které francouzské dluhopisy drží. Otázkou je, jak dlouho francouzský pesimismus vydrží. Podle nás jde spíš o krátkodobou a nárazovou záležitost.</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2026-10-07T13:56:51.299Z</dcterms:created>
  <dcterms:modified xsi:type="dcterms:W3CDTF">2026-10-07T13:56:51.304Z</dcterms:modified>
</cp:coreProperties>
</file>

<file path=docProps/custom.xml><?xml version="1.0" encoding="utf-8"?>
<Properties xmlns="http://schemas.openxmlformats.org/officeDocument/2006/custom-properties" xmlns:vt="http://schemas.openxmlformats.org/officeDocument/2006/docPropsVTypes"/>
</file>