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9EB2" w:val="clear"/>
            <w:tcMar>
              <w:top w:type="dxa" w:w="36"/>
              <w:left w:type="dxa" w:w="0"/>
              <w:bottom w:type="dxa" w:w="36"/>
              <w:right w:type="dxa" w:w="0"/>
            </w:tcMar>
          </w:tcPr>
          <w:p>
            <w:r>
              <w:rPr>
                <w:sz w:val="4"/>
                <w:szCs w:val="4"/>
              </w:rPr>
              <w:t xml:space="preserve"/>
            </w:r>
          </w:p>
        </w:tc>
      </w:tr>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80"/>
              <w:right w:type="dxa" w:w="400"/>
            </w:tcMar>
          </w:tcPr>
          <w:p>
            <w:r>
              <w:rPr>
                <w:rFonts w:ascii="Arial" w:cs="Arial" w:eastAsia="Arial" w:hAnsi="Arial"/>
                <w:b/>
                <w:bCs/>
                <w:color w:val="FFFFFF"/>
                <w:sz w:val="52"/>
                <w:szCs w:val="52"/>
              </w:rPr>
              <w:t xml:space="preserve">IT Services &amp; Intelligent Systems Support</w:t>
            </w:r>
          </w:p>
        </w:tc>
      </w:tr>
      <w:tr>
        <w:tc>
          <w:tcPr>
            <w:tcW w:type="dxa" w:w="9360"/>
            <w:tcBorders>
              <w:top w:val="none" w:color="FFFFFF" w:sz="0"/>
              <w:left w:val="none" w:color="FFFFFF" w:sz="0"/>
              <w:bottom w:val="none" w:color="FFFFFF" w:sz="0"/>
              <w:right w:val="none" w:color="FFFFFF" w:sz="0"/>
            </w:tcBorders>
            <w:shd w:fill="1E3A5F" w:val="clear"/>
            <w:tcMar>
              <w:top w:type="dxa" w:w="0"/>
              <w:left w:type="dxa" w:w="400"/>
              <w:bottom w:type="dxa" w:w="60"/>
              <w:right w:type="dxa" w:w="400"/>
            </w:tcMar>
          </w:tcPr>
          <w:p>
            <w:r>
              <w:rPr>
                <w:rFonts w:ascii="Arial" w:cs="Arial" w:eastAsia="Arial" w:hAnsi="Arial"/>
                <w:color w:val="BDD1E8"/>
                <w:sz w:val="24"/>
                <w:szCs w:val="24"/>
              </w:rPr>
              <w:t xml:space="preserve">Capabilities Profile  ·  Services Overview  ·  Technology Coverage</w:t>
            </w:r>
          </w:p>
        </w:tc>
      </w:tr>
      <w:tr>
        <w:tc>
          <w:tcPr>
            <w:tcW w:type="dxa" w:w="9360"/>
            <w:tcBorders>
              <w:top w:val="none" w:color="FFFFFF" w:sz="0"/>
              <w:left w:val="none" w:color="FFFFFF" w:sz="0"/>
              <w:bottom w:val="none" w:color="FFFFFF" w:sz="0"/>
              <w:right w:val="none" w:color="FFFFFF" w:sz="0"/>
            </w:tcBorders>
            <w:shd w:fill="1E3A5F" w:val="clear"/>
            <w:tcMar>
              <w:top w:type="dxa" w:w="0"/>
              <w:left w:type="dxa" w:w="400"/>
              <w:bottom w:type="dxa" w:w="320"/>
              <w:right w:type="dxa" w:w="400"/>
            </w:tcMar>
          </w:tcPr>
          <w:p>
            <w:r>
              <w:rPr>
                <w:rFonts w:ascii="Arial" w:cs="Arial" w:eastAsia="Arial" w:hAnsi="Arial"/>
                <w:i/>
                <w:iCs/>
                <w:color w:val="8AAEC8"/>
                <w:sz w:val="18"/>
                <w:szCs w:val="18"/>
              </w:rPr>
              <w:t xml:space="preserve">Field diagnostics  ·  AI-powered knowledge management  ·  Microsoft 365  ·  Multi-vendor enterprise support</w:t>
            </w:r>
          </w:p>
        </w:tc>
      </w:tr>
    </w:tbl>
    <w:p>
      <w:pPr>
        <w:spacing w:after="360"/>
      </w:pPr>
    </w:p>
    <w:p>
      <w:pPr>
        <w:pBdr>
          <w:left w:val="single" w:color="1E3A5F" w:sz="22" w:space="8"/>
        </w:pBdr>
        <w:spacing w:after="140" w:before="360"/>
      </w:pPr>
      <w:r>
        <w:rPr>
          <w:rFonts w:ascii="Arial" w:cs="Arial" w:eastAsia="Arial" w:hAnsi="Arial"/>
          <w:b/>
          <w:bCs/>
          <w:color w:val="1E3A5F"/>
          <w:sz w:val="28"/>
          <w:szCs w:val="28"/>
        </w:rPr>
        <w:t xml:space="preserve">What We Do</w:t>
      </w:r>
    </w:p>
    <w:p>
      <w:pPr>
        <w:spacing w:after="160"/>
      </w:pPr>
      <w:r>
        <w:rPr>
          <w:rFonts w:ascii="Arial" w:cs="Arial" w:eastAsia="Arial" w:hAnsi="Arial"/>
          <w:i/>
          <w:iCs/>
          <w:color w:val="555555"/>
          <w:sz w:val="19"/>
          <w:szCs w:val="19"/>
        </w:rPr>
        <w:t xml:space="preserve">We provide enterprise-grade IT support backed by a live AI agent system — combining hands-on field diagnostics with an intelligent knowledge base that draws from manufacturer APIs, security feeds, and Microsoft 365 in real time. Every service below is supported by live tooling, not just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c>
          <w:tcPr>
            <w:tcW w:type="dxa" w:w="29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Service Area</w:t>
            </w:r>
          </w:p>
        </w:tc>
        <w:tc>
          <w:tcPr>
            <w:tcW w:type="dxa" w:w="64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It Means in Practice</w:t>
            </w:r>
          </w:p>
        </w:tc>
      </w:tr>
      <w:tr>
        <w:tc>
          <w:tcPr>
            <w:tcW w:type="dxa" w:w="296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bCs/>
                <w:color w:val="1E3A5F"/>
                <w:sz w:val="19"/>
                <w:szCs w:val="19"/>
              </w:rPr>
              <w:t xml:space="preserve">Field Diagnostics &amp; Troubleshooting</w:t>
            </w:r>
          </w:p>
        </w:tc>
        <w:tc>
          <w:tcPr>
            <w:tcW w:type="dxa" w:w="640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On-site and remote troubleshooting for desktop computers, laptops, printers, scanners, and network equipment across multiple manufacturers</w:t>
            </w:r>
          </w:p>
        </w:tc>
      </w:tr>
      <w:tr>
        <w:tc>
          <w:tcPr>
            <w:tcW w:type="dxa" w:w="29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AI-Assisted Scenario Building</w:t>
            </w:r>
          </w:p>
        </w:tc>
        <w:tc>
          <w:tcPr>
            <w:tcW w:type="dxa" w:w="64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Complex field problems are submitted in plain English; the system cross-references five live manufacturer sources simultaneously to produce a structured diagnostic report</w:t>
            </w:r>
          </w:p>
        </w:tc>
      </w:tr>
      <w:tr>
        <w:tc>
          <w:tcPr>
            <w:tcW w:type="dxa" w:w="296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bCs/>
                <w:color w:val="1E3A5F"/>
                <w:sz w:val="19"/>
                <w:szCs w:val="19"/>
              </w:rPr>
              <w:t xml:space="preserve">Knowledge Management</w:t>
            </w:r>
          </w:p>
        </w:tc>
        <w:tc>
          <w:tcPr>
            <w:tcW w:type="dxa" w:w="640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A self-growing SharePoint IT Knowledge Base with six libraries, automatically updated nightly from Cisco, Microsoft, Dell, HP, and Fujitsu sources</w:t>
            </w:r>
          </w:p>
        </w:tc>
      </w:tr>
      <w:tr>
        <w:tc>
          <w:tcPr>
            <w:tcW w:type="dxa" w:w="29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Microsoft 365 Support</w:t>
            </w:r>
          </w:p>
        </w:tc>
        <w:tc>
          <w:tcPr>
            <w:tcW w:type="dxa" w:w="64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Full Microsoft 365 ecosystem coverage — from Windows 11 field issues up through Exchange Online, SharePoint, Teams, Power Automate, and Azure Graph API</w:t>
            </w:r>
          </w:p>
        </w:tc>
      </w:tr>
      <w:tr>
        <w:tc>
          <w:tcPr>
            <w:tcW w:type="dxa" w:w="296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bCs/>
                <w:color w:val="1E3A5F"/>
                <w:sz w:val="19"/>
                <w:szCs w:val="19"/>
              </w:rPr>
              <w:t xml:space="preserve">Security Advisory Monitoring</w:t>
            </w:r>
          </w:p>
        </w:tc>
        <w:tc>
          <w:tcPr>
            <w:tcW w:type="dxa" w:w="640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Live Cisco PSIRT feed monitored continuously — CVE severity, affected versions, and patch urgency surfaced automatically when relevant to a field problem</w:t>
            </w:r>
          </w:p>
        </w:tc>
      </w:tr>
      <w:tr>
        <w:tc>
          <w:tcPr>
            <w:tcW w:type="dxa" w:w="29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Automation &amp; Workflow</w:t>
            </w:r>
          </w:p>
        </w:tc>
        <w:tc>
          <w:tcPr>
            <w:tcW w:type="dxa" w:w="64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Power Automate cloud flows capture IT knowledge passively from email and Teams, feeding the knowledge base without manual effort</w:t>
            </w:r>
          </w:p>
        </w:tc>
      </w:tr>
      <w:tr>
        <w:tc>
          <w:tcPr>
            <w:tcW w:type="dxa" w:w="296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bCs/>
                <w:color w:val="1E3A5F"/>
                <w:sz w:val="19"/>
                <w:szCs w:val="19"/>
              </w:rPr>
              <w:t xml:space="preserve">Network Cabling &amp; Infrastructure</w:t>
            </w:r>
          </w:p>
        </w:tc>
        <w:tc>
          <w:tcPr>
            <w:tcW w:type="dxa" w:w="6400"/>
            <w:tcBorders>
              <w:top w:val="single" w:color="C5D0DC" w:sz="1"/>
              <w:left w:val="single" w:color="C5D0DC" w:sz="1"/>
              <w:bottom w:val="single" w:color="C5D0DC" w:sz="1"/>
              <w:right w:val="single" w:color="C5D0DC" w:sz="1"/>
            </w:tcBorders>
            <w:shd w:fill="EEF2FB"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Structured cabling installation and documentation to T568B standard — jack termination, patch panel wiring, and continuity verification</w:t>
            </w:r>
          </w:p>
        </w:tc>
      </w:tr>
      <w:tr>
        <w:tc>
          <w:tcPr>
            <w:tcW w:type="dxa" w:w="29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Documentation &amp; Runbooks</w:t>
            </w:r>
          </w:p>
        </w:tc>
        <w:tc>
          <w:tcPr>
            <w:tcW w:type="dxa" w:w="64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Field-ready reference documents, colour-coded guides, and step-by-step runbooks generated on demand and stored in the knowledge base</w:t>
            </w:r>
          </w:p>
        </w:tc>
      </w:tr>
    </w:tbl>
    <w:p>
      <w:pPr>
        <w:spacing w:after="360"/>
      </w:pPr>
    </w:p>
    <w:p>
      <w:pPr>
        <w:pBdr>
          <w:left w:val="single" w:color="1E3A5F" w:sz="22" w:space="8"/>
        </w:pBdr>
        <w:spacing w:after="140" w:before="360"/>
      </w:pPr>
      <w:r>
        <w:rPr>
          <w:rFonts w:ascii="Arial" w:cs="Arial" w:eastAsia="Arial" w:hAnsi="Arial"/>
          <w:b/>
          <w:bCs/>
          <w:color w:val="1E3A5F"/>
          <w:sz w:val="28"/>
          <w:szCs w:val="28"/>
        </w:rPr>
        <w:t xml:space="preserve">What We’ve Built</w:t>
      </w:r>
    </w:p>
    <w:p>
      <w:pPr>
        <w:spacing w:after="160"/>
      </w:pPr>
      <w:r>
        <w:rPr>
          <w:rFonts w:ascii="Arial" w:cs="Arial" w:eastAsia="Arial" w:hAnsi="Arial"/>
          <w:i/>
          <w:iCs/>
          <w:color w:val="555555"/>
          <w:sz w:val="19"/>
          <w:szCs w:val="19"/>
        </w:rPr>
        <w:t xml:space="preserve">The infrastructure below powers every service we offer. It was designed, coded, and deployed from scratch — each component independently configured and tested against live enterprise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160"/>
        <w:gridCol w:w="4920"/>
      </w:tblGrid>
      <w:tr>
        <w:tc>
          <w:tcPr>
            <w:tcW w:type="dxa" w:w="228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System</w:t>
            </w:r>
          </w:p>
        </w:tc>
        <w:tc>
          <w:tcPr>
            <w:tcW w:type="dxa" w:w="21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Technology</w:t>
            </w:r>
          </w:p>
        </w:tc>
        <w:tc>
          <w:tcPr>
            <w:tcW w:type="dxa" w:w="492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Description</w:t>
            </w:r>
          </w:p>
        </w:tc>
      </w:tr>
      <w:tr>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IT Knowledge Base</w:t>
            </w:r>
          </w:p>
        </w:tc>
        <w:tc>
          <w:tcPr>
            <w:tcW w:type="dxa" w:w="21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SharePoint Online</w:t>
            </w:r>
          </w:p>
        </w:tc>
        <w:tc>
          <w:tcPr>
            <w:tcW w:type="dxa" w:w="49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Six-library repository: FAQs, Troubleshooting, Runbooks, Assets, Scripts, Cabling — nightly automated refresh from 5 vendor sources</w:t>
            </w:r>
          </w:p>
        </w:tc>
      </w:tr>
      <w:tr>
        <w:tc>
          <w:tcPr>
            <w:tcW w:type="dxa" w:w="22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AI Agent Server</w:t>
            </w:r>
          </w:p>
        </w:tc>
        <w:tc>
          <w:tcPr>
            <w:tcW w:type="dxa" w:w="21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Node.js + Model Context Protocol</w:t>
            </w:r>
          </w:p>
        </w:tc>
        <w:tc>
          <w:tcPr>
            <w:tcW w:type="dxa" w:w="4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12-tool MCP server connecting an AI assistant to live enterprise data: SharePoint, Cisco PSIRT, M365 health, Dell, HP, Fujitsu</w:t>
            </w:r>
          </w:p>
        </w:tc>
      </w:tr>
      <w:tr>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Field Scenario Builder</w:t>
            </w:r>
          </w:p>
        </w:tc>
        <w:tc>
          <w:tcPr>
            <w:tcW w:type="dxa" w:w="21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MCP tool — build_scenario</w:t>
            </w:r>
          </w:p>
        </w:tc>
        <w:tc>
          <w:tcPr>
            <w:tcW w:type="dxa" w:w="49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Takes a plain-English problem, extracts keywords, runs parallel queries across all sources, returns a structured diagnostic report</w:t>
            </w:r>
          </w:p>
        </w:tc>
      </w:tr>
      <w:tr>
        <w:tc>
          <w:tcPr>
            <w:tcW w:type="dxa" w:w="22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Nightly Refresh Engine</w:t>
            </w:r>
          </w:p>
        </w:tc>
        <w:tc>
          <w:tcPr>
            <w:tcW w:type="dxa" w:w="21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Windows Task Scheduler</w:t>
            </w:r>
          </w:p>
        </w:tc>
        <w:tc>
          <w:tcPr>
            <w:tcW w:type="dxa" w:w="4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Runs at 2 AM daily — 6 automated source pulls, markdown generation, SharePoint upload, with error logging</w:t>
            </w:r>
          </w:p>
        </w:tc>
      </w:tr>
      <w:tr>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Email-to-KB Flow</w:t>
            </w:r>
          </w:p>
        </w:tc>
        <w:tc>
          <w:tcPr>
            <w:tcW w:type="dxa" w:w="21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Power Automate cloud flow</w:t>
            </w:r>
          </w:p>
        </w:tc>
        <w:tc>
          <w:tcPr>
            <w:tcW w:type="dxa" w:w="49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Monitors a designated mailbox — tagged emails are automatically parsed and uploaded to the correct SharePoint library</w:t>
            </w:r>
          </w:p>
        </w:tc>
      </w:tr>
      <w:tr>
        <w:tc>
          <w:tcPr>
            <w:tcW w:type="dxa" w:w="22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Teams-to-KB Flow</w:t>
            </w:r>
          </w:p>
        </w:tc>
        <w:tc>
          <w:tcPr>
            <w:tcW w:type="dxa" w:w="21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Power Automate cloud flow</w:t>
            </w:r>
          </w:p>
        </w:tc>
        <w:tc>
          <w:tcPr>
            <w:tcW w:type="dxa" w:w="4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Field techs react to any Teams message with a bookmark — the thread is captured and saved as a new KB entry automatically</w:t>
            </w:r>
          </w:p>
        </w:tc>
      </w:tr>
      <w:tr>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Microsoft Graph Integration</w:t>
            </w:r>
          </w:p>
        </w:tc>
        <w:tc>
          <w:tcPr>
            <w:tcW w:type="dxa" w:w="21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Azure AD OAuth2 + Graph API</w:t>
            </w:r>
          </w:p>
        </w:tc>
        <w:tc>
          <w:tcPr>
            <w:tcW w:type="dxa" w:w="49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Authenticated connection to SharePoint, Exchange, M365 service health, and planned maintenance endpoints</w:t>
            </w:r>
          </w:p>
        </w:tc>
      </w:tr>
      <w:tr>
        <w:tc>
          <w:tcPr>
            <w:tcW w:type="dxa" w:w="22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Cisco PSIRT Integration</w:t>
            </w:r>
          </w:p>
        </w:tc>
        <w:tc>
          <w:tcPr>
            <w:tcW w:type="dxa" w:w="21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Cisco API OAuth2</w:t>
            </w:r>
          </w:p>
        </w:tc>
        <w:tc>
          <w:tcPr>
            <w:tcW w:type="dxa" w:w="4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Live CVE feed for IOS XE, Catalyst 9000, SD-WAN, ISE, and Wireless — severity, version, and patch urgency parsed in real time</w:t>
            </w:r>
          </w:p>
        </w:tc>
      </w:tr>
      <w:tr>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T568B Cabling Document</w:t>
            </w:r>
          </w:p>
        </w:tc>
        <w:tc>
          <w:tcPr>
            <w:tcW w:type="dxa" w:w="21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Word / docx generation</w:t>
            </w:r>
          </w:p>
        </w:tc>
        <w:tc>
          <w:tcPr>
            <w:tcW w:type="dxa" w:w="49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Colour-coded field reference for network jack punch-down, pair assignments, and T568B wiring sequence — generated programmatically</w:t>
            </w:r>
          </w:p>
        </w:tc>
      </w:tr>
    </w:tbl>
    <w:p>
      <w:pPr>
        <w:spacing w:after="360"/>
      </w:pPr>
    </w:p>
    <w:p>
      <w:pPr>
        <w:pBdr>
          <w:left w:val="single" w:color="1E3A5F" w:sz="22" w:space="8"/>
        </w:pBdr>
        <w:spacing w:after="140" w:before="360"/>
      </w:pPr>
      <w:r>
        <w:rPr>
          <w:rFonts w:ascii="Arial" w:cs="Arial" w:eastAsia="Arial" w:hAnsi="Arial"/>
          <w:b/>
          <w:bCs/>
          <w:color w:val="1E3A5F"/>
          <w:sz w:val="28"/>
          <w:szCs w:val="28"/>
        </w:rPr>
        <w:t xml:space="preserve">What We Can Do</w:t>
      </w:r>
    </w:p>
    <w:p>
      <w:pPr>
        <w:spacing w:after="160"/>
      </w:pPr>
      <w:r>
        <w:rPr>
          <w:rFonts w:ascii="Arial" w:cs="Arial" w:eastAsia="Arial" w:hAnsi="Arial"/>
          <w:i/>
          <w:iCs/>
          <w:color w:val="555555"/>
          <w:sz w:val="19"/>
          <w:szCs w:val="19"/>
        </w:rPr>
        <w:t xml:space="preserve">The following capabilities are available on demand — either through the AI agent directly or through the automated infrastructure running continuously in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5080"/>
        <w:gridCol w:w="1720"/>
      </w:tblGrid>
      <w:tr>
        <w:tc>
          <w:tcPr>
            <w:tcW w:type="dxa" w:w="25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Capability</w:t>
            </w:r>
          </w:p>
        </w:tc>
        <w:tc>
          <w:tcPr>
            <w:tcW w:type="dxa" w:w="508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You Get</w:t>
            </w:r>
          </w:p>
        </w:tc>
        <w:tc>
          <w:tcPr>
            <w:tcW w:type="dxa" w:w="172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Delivery</w:t>
            </w:r>
          </w:p>
        </w:tc>
      </w:tr>
      <w:tr>
        <w:tc>
          <w:tcPr>
            <w:tcW w:type="dxa" w:w="256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bCs/>
                <w:color w:val="1E3A5F"/>
                <w:sz w:val="19"/>
                <w:szCs w:val="19"/>
              </w:rPr>
              <w:t xml:space="preserve">Instant Field Scenario Report</w:t>
            </w:r>
          </w:p>
        </w:tc>
        <w:tc>
          <w:tcPr>
            <w:tcW w:type="dxa" w:w="508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Describe any IT problem in plain English — receive a structured report with Quick Checks, Manufacturer Findings, layered Test Scenarios, and Escalation Path</w:t>
            </w:r>
          </w:p>
        </w:tc>
        <w:tc>
          <w:tcPr>
            <w:tcW w:type="dxa" w:w="172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 real time</w:t>
            </w:r>
          </w:p>
        </w:tc>
      </w:tr>
      <w:tr>
        <w:tc>
          <w:tcPr>
            <w:tcW w:type="dxa" w:w="25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Live Security Advisory Check</w:t>
            </w:r>
          </w:p>
        </w:tc>
        <w:tc>
          <w:tcPr>
            <w:tcW w:type="dxa" w:w="50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Query current Cisco CVEs against a specific platform or device — severity rating, affected versions, and recommended action returned immediately</w:t>
            </w:r>
          </w:p>
        </w:tc>
        <w:tc>
          <w:tcPr>
            <w:tcW w:type="dxa" w:w="17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 real time</w:t>
            </w:r>
          </w:p>
        </w:tc>
      </w:tr>
      <w:tr>
        <w:tc>
          <w:tcPr>
            <w:tcW w:type="dxa" w:w="256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bCs/>
                <w:color w:val="1E3A5F"/>
                <w:sz w:val="19"/>
                <w:szCs w:val="19"/>
              </w:rPr>
              <w:t xml:space="preserve">M365 Service Health Check</w:t>
            </w:r>
          </w:p>
        </w:tc>
        <w:tc>
          <w:tcPr>
            <w:tcW w:type="dxa" w:w="508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Query Microsoft 365 for active incidents or degradations affecting Exchange, Teams, SharePoint, or OneDrive — distinguishes outage from local fault</w:t>
            </w:r>
          </w:p>
        </w:tc>
        <w:tc>
          <w:tcPr>
            <w:tcW w:type="dxa" w:w="172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 real time</w:t>
            </w:r>
          </w:p>
        </w:tc>
      </w:tr>
      <w:tr>
        <w:tc>
          <w:tcPr>
            <w:tcW w:type="dxa" w:w="25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Knowledge Base Search</w:t>
            </w:r>
          </w:p>
        </w:tc>
        <w:tc>
          <w:tcPr>
            <w:tcW w:type="dxa" w:w="50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Natural-language search across all six SharePoint KB libraries simultaneously — returns matched articles, runbooks, and guides</w:t>
            </w:r>
          </w:p>
        </w:tc>
        <w:tc>
          <w:tcPr>
            <w:tcW w:type="dxa" w:w="17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w:t>
            </w:r>
          </w:p>
        </w:tc>
      </w:tr>
      <w:tr>
        <w:tc>
          <w:tcPr>
            <w:tcW w:type="dxa" w:w="256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bCs/>
                <w:color w:val="1E3A5F"/>
                <w:sz w:val="19"/>
                <w:szCs w:val="19"/>
              </w:rPr>
              <w:t xml:space="preserve">Knowledge Base Article Upload</w:t>
            </w:r>
          </w:p>
        </w:tc>
        <w:tc>
          <w:tcPr>
            <w:tcW w:type="dxa" w:w="508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Any field resolution, procedure, or guide can be saved directly to the correct SharePoint library in a single command — no manual steps</w:t>
            </w:r>
          </w:p>
        </w:tc>
        <w:tc>
          <w:tcPr>
            <w:tcW w:type="dxa" w:w="172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w:t>
            </w:r>
          </w:p>
        </w:tc>
      </w:tr>
      <w:tr>
        <w:tc>
          <w:tcPr>
            <w:tcW w:type="dxa" w:w="25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Nightly Content Refresh</w:t>
            </w:r>
          </w:p>
        </w:tc>
        <w:tc>
          <w:tcPr>
            <w:tcW w:type="dxa" w:w="50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KB stays current automatically — Cisco advisories, Microsoft Learn, Dell, HP, and Fujitsu support content updated every night without human action</w:t>
            </w:r>
          </w:p>
        </w:tc>
        <w:tc>
          <w:tcPr>
            <w:tcW w:type="dxa" w:w="17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Automated, nightly</w:t>
            </w:r>
          </w:p>
        </w:tc>
      </w:tr>
      <w:tr>
        <w:tc>
          <w:tcPr>
            <w:tcW w:type="dxa" w:w="256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bCs/>
                <w:color w:val="1E3A5F"/>
                <w:sz w:val="19"/>
                <w:szCs w:val="19"/>
              </w:rPr>
              <w:t xml:space="preserve">Email &amp; Teams Knowledge Capture</w:t>
            </w:r>
          </w:p>
        </w:tc>
        <w:tc>
          <w:tcPr>
            <w:tcW w:type="dxa" w:w="508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New IT knowledge from daily communication is captured passively — tagged emails and bookmarked Teams messages flow into the KB automatically</w:t>
            </w:r>
          </w:p>
        </w:tc>
        <w:tc>
          <w:tcPr>
            <w:tcW w:type="dxa" w:w="172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Automated, continuous</w:t>
            </w:r>
          </w:p>
        </w:tc>
      </w:tr>
      <w:tr>
        <w:tc>
          <w:tcPr>
            <w:tcW w:type="dxa" w:w="25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T568B Field Reference</w:t>
            </w:r>
          </w:p>
        </w:tc>
        <w:tc>
          <w:tcPr>
            <w:tcW w:type="dxa" w:w="508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Colour-coded wiring document generated on demand for field techs — includes punch-down layout, pair assignments, and jack wiring sequence</w:t>
            </w:r>
          </w:p>
        </w:tc>
        <w:tc>
          <w:tcPr>
            <w:tcW w:type="dxa" w:w="17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w:t>
            </w:r>
          </w:p>
        </w:tc>
      </w:tr>
      <w:tr>
        <w:tc>
          <w:tcPr>
            <w:tcW w:type="dxa" w:w="256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bCs/>
                <w:color w:val="1E3A5F"/>
                <w:sz w:val="19"/>
                <w:szCs w:val="19"/>
              </w:rPr>
              <w:t xml:space="preserve">Custom Troubleshooting Runbooks</w:t>
            </w:r>
          </w:p>
        </w:tc>
        <w:tc>
          <w:tcPr>
            <w:tcW w:type="dxa" w:w="508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Step-by-step runbooks created, formatted, and uploaded to SharePoint for any device, procedure, or recurring fault type</w:t>
            </w:r>
          </w:p>
        </w:tc>
        <w:tc>
          <w:tcPr>
            <w:tcW w:type="dxa" w:w="1720"/>
            <w:tcBorders>
              <w:top w:val="single" w:color="C5D0DC" w:sz="1"/>
              <w:left w:val="single" w:color="C5D0DC" w:sz="1"/>
              <w:bottom w:val="single" w:color="C5D0DC" w:sz="1"/>
              <w:right w:val="single" w:color="C5D0DC" w:sz="1"/>
            </w:tcBorders>
            <w:shd w:fill="FFF8E1" w:val="clear"/>
            <w:tcMar>
              <w:top w:type="dxa" w:w="90"/>
              <w:left w:type="dxa" w:w="150"/>
              <w:bottom w:type="dxa" w:w="90"/>
              <w:right w:type="dxa" w:w="150"/>
            </w:tcMar>
            <w:vAlign w:val="center"/>
          </w:tcPr>
          <w:p>
            <w:r>
              <w:rPr>
                <w:rFonts w:ascii="Arial" w:cs="Arial" w:eastAsia="Arial" w:hAnsi="Arial"/>
                <w:b w:val="false"/>
                <w:bCs w:val="false"/>
                <w:color w:val="555555"/>
                <w:sz w:val="19"/>
                <w:szCs w:val="19"/>
              </w:rPr>
              <w:t xml:space="preserve">On demand</w:t>
            </w:r>
          </w:p>
        </w:tc>
      </w:tr>
    </w:tbl>
    <w:p>
      <w:pPr>
        <w:spacing w:after="360"/>
      </w:pPr>
    </w:p>
    <w:p>
      <w:pPr>
        <w:pBdr>
          <w:left w:val="single" w:color="1E3A5F" w:sz="22" w:space="8"/>
        </w:pBdr>
        <w:spacing w:after="140" w:before="360"/>
      </w:pPr>
      <w:r>
        <w:rPr>
          <w:rFonts w:ascii="Arial" w:cs="Arial" w:eastAsia="Arial" w:hAnsi="Arial"/>
          <w:b/>
          <w:bCs/>
          <w:color w:val="1E3A5F"/>
          <w:sz w:val="28"/>
          <w:szCs w:val="28"/>
        </w:rPr>
        <w:t xml:space="preserve">Equipment &amp; Systems We Support</w:t>
      </w:r>
    </w:p>
    <w:p>
      <w:pPr>
        <w:spacing w:after="160"/>
      </w:pPr>
      <w:r>
        <w:rPr>
          <w:rFonts w:ascii="Arial" w:cs="Arial" w:eastAsia="Arial" w:hAnsi="Arial"/>
          <w:i/>
          <w:iCs/>
          <w:color w:val="555555"/>
          <w:sz w:val="19"/>
          <w:szCs w:val="19"/>
        </w:rPr>
        <w:t xml:space="preserve">Support spans three tiers of complexity. The AI agent automatically identifies the appropriate tier from the problem description and directs queries to the relevant manufacturer source.</w:t>
      </w:r>
    </w:p>
    <w:p>
      <w:pPr>
        <w:pBdr>
          <w:left w:val="single" w:color="7F9EB2" w:sz="10" w:space="6"/>
        </w:pBdr>
        <w:spacing w:after="120" w:before="260"/>
      </w:pPr>
      <w:r>
        <w:rPr>
          <w:rFonts w:ascii="Arial" w:cs="Arial" w:eastAsia="Arial" w:hAnsi="Arial"/>
          <w:b/>
          <w:bCs/>
          <w:color w:val="2E5280"/>
          <w:sz w:val="22"/>
          <w:szCs w:val="22"/>
        </w:rPr>
        <w:t xml:space="preserve">Tier 1 — Foundational  (network cabling · desktops · basic peripherals)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20"/>
        <w:gridCol w:w="2280"/>
        <w:gridCol w:w="4260"/>
      </w:tblGrid>
      <w:tr>
        <w:tc>
          <w:tcPr>
            <w:tcW w:type="dxa" w:w="11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Tier</w:t>
            </w:r>
          </w:p>
        </w:tc>
        <w:tc>
          <w:tcPr>
            <w:tcW w:type="dxa" w:w="172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Category</w:t>
            </w:r>
          </w:p>
        </w:tc>
        <w:tc>
          <w:tcPr>
            <w:tcW w:type="dxa" w:w="228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Equipment / Models</w:t>
            </w:r>
          </w:p>
        </w:tc>
        <w:tc>
          <w:tcPr>
            <w:tcW w:type="dxa" w:w="42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Scenarios Supported</w:t>
            </w:r>
          </w:p>
        </w:tc>
      </w:tr>
      <w:tr>
        <w:tc>
          <w:tcPr>
            <w:tcW w:type="dxa" w:w="1100"/>
            <w:tcBorders>
              <w:top w:val="single" w:color="C5D0DC" w:sz="1"/>
              <w:left w:val="single" w:color="1B5E20" w:sz="14"/>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B5E20"/>
                <w:sz w:val="18"/>
                <w:szCs w:val="18"/>
              </w:rPr>
              <w:t xml:space="preserve">Foundational</w:t>
            </w:r>
          </w:p>
        </w:tc>
        <w:tc>
          <w:tcPr>
            <w:tcW w:type="dxa" w:w="17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Network Cabling</w:t>
            </w:r>
          </w:p>
        </w:tc>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TIA-568B standard</w:t>
            </w:r>
          </w:p>
        </w:tc>
        <w:tc>
          <w:tcPr>
            <w:tcW w:type="dxa" w:w="42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T568B jack termination, patch panel wiring, RJ-45 crimping, continuity testing, damaged-jack replacement procedures</w:t>
            </w:r>
          </w:p>
        </w:tc>
      </w:tr>
      <w:tr>
        <w:tc>
          <w:tcPr>
            <w:tcW w:type="dxa" w:w="1100"/>
            <w:tcBorders>
              <w:top w:val="single" w:color="C5D0DC" w:sz="1"/>
              <w:left w:val="single" w:color="1B5E20" w:sz="14"/>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bCs/>
                <w:color w:val="1B5E20"/>
                <w:sz w:val="18"/>
                <w:szCs w:val="18"/>
              </w:rPr>
              <w:t xml:space="preserve">Foundational</w:t>
            </w:r>
          </w:p>
        </w:tc>
        <w:tc>
          <w:tcPr>
            <w:tcW w:type="dxa" w:w="1720"/>
            <w:tcBorders>
              <w:top w:val="single" w:color="C5D0DC" w:sz="1"/>
              <w:left w:val="single" w:color="C5D0DC" w:sz="1"/>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bCs/>
                <w:color w:val="1E3A5F"/>
                <w:sz w:val="19"/>
                <w:szCs w:val="19"/>
              </w:rPr>
              <w:t xml:space="preserve">Desktop Computers</w:t>
            </w:r>
          </w:p>
        </w:tc>
        <w:tc>
          <w:tcPr>
            <w:tcW w:type="dxa" w:w="2280"/>
            <w:tcBorders>
              <w:top w:val="single" w:color="C5D0DC" w:sz="1"/>
              <w:left w:val="single" w:color="C5D0DC" w:sz="1"/>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Dell OptiPlex 3000–7000</w:t>
            </w:r>
          </w:p>
        </w:tc>
        <w:tc>
          <w:tcPr>
            <w:tcW w:type="dxa" w:w="4260"/>
            <w:tcBorders>
              <w:top w:val="single" w:color="C5D0DC" w:sz="1"/>
              <w:left w:val="single" w:color="C5D0DC" w:sz="1"/>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Windows 11 driver installs, chipset/BIOS updates, F12 boot diagnostics, no-boot triage, performance troubleshooting</w:t>
            </w:r>
          </w:p>
        </w:tc>
      </w:tr>
      <w:tr>
        <w:tc>
          <w:tcPr>
            <w:tcW w:type="dxa" w:w="1100"/>
            <w:tcBorders>
              <w:top w:val="single" w:color="C5D0DC" w:sz="1"/>
              <w:left w:val="single" w:color="1B5E20" w:sz="14"/>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B5E20"/>
                <w:sz w:val="18"/>
                <w:szCs w:val="18"/>
              </w:rPr>
              <w:t xml:space="preserve">Foundational</w:t>
            </w:r>
          </w:p>
        </w:tc>
        <w:tc>
          <w:tcPr>
            <w:tcW w:type="dxa" w:w="172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E3A5F"/>
                <w:sz w:val="19"/>
                <w:szCs w:val="19"/>
              </w:rPr>
              <w:t xml:space="preserve">Laptop Computers</w:t>
            </w:r>
          </w:p>
        </w:tc>
        <w:tc>
          <w:tcPr>
            <w:tcW w:type="dxa" w:w="228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Dell Latitude 5000–7000</w:t>
            </w:r>
          </w:p>
        </w:tc>
        <w:tc>
          <w:tcPr>
            <w:tcW w:type="dxa" w:w="42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Wi-Fi adapter failures, Windows Hello 24H2 regression, docking station faults, screen/display driver issues</w:t>
            </w:r>
          </w:p>
        </w:tc>
      </w:tr>
      <w:tr>
        <w:tc>
          <w:tcPr>
            <w:tcW w:type="dxa" w:w="1100"/>
            <w:tcBorders>
              <w:top w:val="single" w:color="C5D0DC" w:sz="1"/>
              <w:left w:val="single" w:color="1B5E20" w:sz="14"/>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bCs/>
                <w:color w:val="1B5E20"/>
                <w:sz w:val="18"/>
                <w:szCs w:val="18"/>
              </w:rPr>
              <w:t xml:space="preserve">Foundational</w:t>
            </w:r>
          </w:p>
        </w:tc>
        <w:tc>
          <w:tcPr>
            <w:tcW w:type="dxa" w:w="1720"/>
            <w:tcBorders>
              <w:top w:val="single" w:color="C5D0DC" w:sz="1"/>
              <w:left w:val="single" w:color="C5D0DC" w:sz="1"/>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bCs/>
                <w:color w:val="1E3A5F"/>
                <w:sz w:val="19"/>
                <w:szCs w:val="19"/>
              </w:rPr>
              <w:t xml:space="preserve">Basic Printers</w:t>
            </w:r>
          </w:p>
        </w:tc>
        <w:tc>
          <w:tcPr>
            <w:tcW w:type="dxa" w:w="2280"/>
            <w:tcBorders>
              <w:top w:val="single" w:color="C5D0DC" w:sz="1"/>
              <w:left w:val="single" w:color="C5D0DC" w:sz="1"/>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HP OfficeJet Pro 8610 / 9010</w:t>
            </w:r>
          </w:p>
        </w:tc>
        <w:tc>
          <w:tcPr>
            <w:tcW w:type="dxa" w:w="4260"/>
            <w:tcBorders>
              <w:top w:val="single" w:color="C5D0DC" w:sz="1"/>
              <w:left w:val="single" w:color="C5D0DC" w:sz="1"/>
              <w:bottom w:val="single" w:color="C5D0DC" w:sz="1"/>
              <w:right w:val="single" w:color="C5D0DC" w:sz="1"/>
            </w:tcBorders>
            <w:shd w:fill="F1F8F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Driver reinstall, wireless re-pairing, scan-to-computer failure (HP Print and Scan Doctor workflow), firmware update</w:t>
            </w:r>
          </w:p>
        </w:tc>
      </w:tr>
    </w:tbl>
    <w:p>
      <w:pPr>
        <w:spacing w:after="200"/>
      </w:pPr>
    </w:p>
    <w:p>
      <w:pPr>
        <w:pBdr>
          <w:left w:val="single" w:color="7F9EB2" w:sz="10" w:space="6"/>
        </w:pBdr>
        <w:spacing w:after="120" w:before="260"/>
      </w:pPr>
      <w:r>
        <w:rPr>
          <w:rFonts w:ascii="Arial" w:cs="Arial" w:eastAsia="Arial" w:hAnsi="Arial"/>
          <w:b/>
          <w:bCs/>
          <w:color w:val="2E5280"/>
          <w:sz w:val="22"/>
          <w:szCs w:val="22"/>
        </w:rPr>
        <w:t xml:space="preserve">Tier 2 — Intermediate  (document scanners · MFPs · Microsoft 365 · workstations)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20"/>
        <w:gridCol w:w="2280"/>
        <w:gridCol w:w="4260"/>
      </w:tblGrid>
      <w:tr>
        <w:tc>
          <w:tcPr>
            <w:tcW w:type="dxa" w:w="11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Tier</w:t>
            </w:r>
          </w:p>
        </w:tc>
        <w:tc>
          <w:tcPr>
            <w:tcW w:type="dxa" w:w="172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Category</w:t>
            </w:r>
          </w:p>
        </w:tc>
        <w:tc>
          <w:tcPr>
            <w:tcW w:type="dxa" w:w="228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Equipment / Models</w:t>
            </w:r>
          </w:p>
        </w:tc>
        <w:tc>
          <w:tcPr>
            <w:tcW w:type="dxa" w:w="42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Scenarios Supported</w:t>
            </w:r>
          </w:p>
        </w:tc>
      </w:tr>
      <w:tr>
        <w:tc>
          <w:tcPr>
            <w:tcW w:type="dxa" w:w="1100"/>
            <w:tcBorders>
              <w:top w:val="single" w:color="C5D0DC" w:sz="1"/>
              <w:left w:val="single" w:color="E65100" w:sz="14"/>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E65100"/>
                <w:sz w:val="18"/>
                <w:szCs w:val="18"/>
              </w:rPr>
              <w:t xml:space="preserve">Intermediate</w:t>
            </w:r>
          </w:p>
        </w:tc>
        <w:tc>
          <w:tcPr>
            <w:tcW w:type="dxa" w:w="172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1E3A5F"/>
                <w:sz w:val="19"/>
                <w:szCs w:val="19"/>
              </w:rPr>
              <w:t xml:space="preserve">Document Scanners</w:t>
            </w:r>
          </w:p>
        </w:tc>
        <w:tc>
          <w:tcPr>
            <w:tcW w:type="dxa" w:w="228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Fujitsu ScanSnap iX500 / iX1500 / iX1600</w:t>
            </w:r>
          </w:p>
        </w:tc>
        <w:tc>
          <w:tcPr>
            <w:tcW w:type="dxa" w:w="426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WIA service restart, ScanSnap Manager legacy driver, Windows 11 24H2 USB recognition regression, ScanSnap Home migration</w:t>
            </w:r>
          </w:p>
        </w:tc>
      </w:tr>
      <w:tr>
        <w:tc>
          <w:tcPr>
            <w:tcW w:type="dxa" w:w="1100"/>
            <w:tcBorders>
              <w:top w:val="single" w:color="C5D0DC" w:sz="1"/>
              <w:left w:val="single" w:color="E65100" w:sz="14"/>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bCs/>
                <w:color w:val="E65100"/>
                <w:sz w:val="18"/>
                <w:szCs w:val="18"/>
              </w:rPr>
              <w:t xml:space="preserve">Intermediate</w:t>
            </w:r>
          </w:p>
        </w:tc>
        <w:tc>
          <w:tcPr>
            <w:tcW w:type="dxa" w:w="1720"/>
            <w:tcBorders>
              <w:top w:val="single" w:color="C5D0DC" w:sz="1"/>
              <w:left w:val="single" w:color="C5D0DC" w:sz="1"/>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bCs/>
                <w:color w:val="1E3A5F"/>
                <w:sz w:val="19"/>
                <w:szCs w:val="19"/>
              </w:rPr>
              <w:t xml:space="preserve">Production Scanners</w:t>
            </w:r>
          </w:p>
        </w:tc>
        <w:tc>
          <w:tcPr>
            <w:tcW w:type="dxa" w:w="2280"/>
            <w:tcBorders>
              <w:top w:val="single" w:color="C5D0DC" w:sz="1"/>
              <w:left w:val="single" w:color="C5D0DC" w:sz="1"/>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Fujitsu fi-7160 / fi-7180 / fi-8170</w:t>
            </w:r>
          </w:p>
        </w:tc>
        <w:tc>
          <w:tcPr>
            <w:tcW w:type="dxa" w:w="4260"/>
            <w:tcBorders>
              <w:top w:val="single" w:color="C5D0DC" w:sz="1"/>
              <w:left w:val="single" w:color="C5D0DC" w:sz="1"/>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TWAIN driver vs PaperStream IP selection, network scan setup, firmware update, PFU/Ricoh driver portal navigation</w:t>
            </w:r>
          </w:p>
        </w:tc>
      </w:tr>
      <w:tr>
        <w:tc>
          <w:tcPr>
            <w:tcW w:type="dxa" w:w="1100"/>
            <w:tcBorders>
              <w:top w:val="single" w:color="C5D0DC" w:sz="1"/>
              <w:left w:val="single" w:color="E65100" w:sz="14"/>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E65100"/>
                <w:sz w:val="18"/>
                <w:szCs w:val="18"/>
              </w:rPr>
              <w:t xml:space="preserve">Intermediate</w:t>
            </w:r>
          </w:p>
        </w:tc>
        <w:tc>
          <w:tcPr>
            <w:tcW w:type="dxa" w:w="172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1E3A5F"/>
                <w:sz w:val="19"/>
                <w:szCs w:val="19"/>
              </w:rPr>
              <w:t xml:space="preserve">Laser MFPs</w:t>
            </w:r>
          </w:p>
        </w:tc>
        <w:tc>
          <w:tcPr>
            <w:tcW w:type="dxa" w:w="228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HP Color LaserJet Pro MFP 3301 / 3302sdw</w:t>
            </w:r>
          </w:p>
        </w:tc>
        <w:tc>
          <w:tcPr>
            <w:tcW w:type="dxa" w:w="426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Print-works-but-not-scan fault, enterprise print queue config, toner/maintenance alerts, HP Smart Diagnostics</w:t>
            </w:r>
          </w:p>
        </w:tc>
      </w:tr>
      <w:tr>
        <w:tc>
          <w:tcPr>
            <w:tcW w:type="dxa" w:w="1100"/>
            <w:tcBorders>
              <w:top w:val="single" w:color="C5D0DC" w:sz="1"/>
              <w:left w:val="single" w:color="E65100" w:sz="14"/>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bCs/>
                <w:color w:val="E65100"/>
                <w:sz w:val="18"/>
                <w:szCs w:val="18"/>
              </w:rPr>
              <w:t xml:space="preserve">Intermediate</w:t>
            </w:r>
          </w:p>
        </w:tc>
        <w:tc>
          <w:tcPr>
            <w:tcW w:type="dxa" w:w="1720"/>
            <w:tcBorders>
              <w:top w:val="single" w:color="C5D0DC" w:sz="1"/>
              <w:left w:val="single" w:color="C5D0DC" w:sz="1"/>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bCs/>
                <w:color w:val="1E3A5F"/>
                <w:sz w:val="19"/>
                <w:szCs w:val="19"/>
              </w:rPr>
              <w:t xml:space="preserve">Microsoft 365</w:t>
            </w:r>
          </w:p>
        </w:tc>
        <w:tc>
          <w:tcPr>
            <w:tcW w:type="dxa" w:w="2280"/>
            <w:tcBorders>
              <w:top w:val="single" w:color="C5D0DC" w:sz="1"/>
              <w:left w:val="single" w:color="C5D0DC" w:sz="1"/>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Exchange Online / Teams / SharePoint</w:t>
            </w:r>
          </w:p>
        </w:tc>
        <w:tc>
          <w:tcPr>
            <w:tcW w:type="dxa" w:w="4260"/>
            <w:tcBorders>
              <w:top w:val="single" w:color="C5D0DC" w:sz="1"/>
              <w:left w:val="single" w:color="C5D0DC" w:sz="1"/>
              <w:bottom w:val="single" w:color="C5D0DC" w:sz="1"/>
              <w:right w:val="single" w:color="C5D0DC" w:sz="1"/>
            </w:tcBorders>
            <w:shd w:fill="FFFBF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Email NDR codes (5.7.x), Teams presence faults, SharePoint permission errors, M365 service outage vs local fault isolation</w:t>
            </w:r>
          </w:p>
        </w:tc>
      </w:tr>
      <w:tr>
        <w:tc>
          <w:tcPr>
            <w:tcW w:type="dxa" w:w="1100"/>
            <w:tcBorders>
              <w:top w:val="single" w:color="C5D0DC" w:sz="1"/>
              <w:left w:val="single" w:color="E65100" w:sz="14"/>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E65100"/>
                <w:sz w:val="18"/>
                <w:szCs w:val="18"/>
              </w:rPr>
              <w:t xml:space="preserve">Intermediate</w:t>
            </w:r>
          </w:p>
        </w:tc>
        <w:tc>
          <w:tcPr>
            <w:tcW w:type="dxa" w:w="172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1E3A5F"/>
                <w:sz w:val="19"/>
                <w:szCs w:val="19"/>
              </w:rPr>
              <w:t xml:space="preserve">Workstations</w:t>
            </w:r>
          </w:p>
        </w:tc>
        <w:tc>
          <w:tcPr>
            <w:tcW w:type="dxa" w:w="228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Dell Precision 3000–5000</w:t>
            </w:r>
          </w:p>
        </w:tc>
        <w:tc>
          <w:tcPr>
            <w:tcW w:type="dxa" w:w="426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OS reinstall via Dell backup media, GPU driver conflict, memory diagnostic (ePSA), multi-monitor display driver</w:t>
            </w:r>
          </w:p>
        </w:tc>
      </w:tr>
    </w:tbl>
    <w:p>
      <w:pPr>
        <w:spacing w:after="200"/>
      </w:pPr>
    </w:p>
    <w:p>
      <w:pPr>
        <w:pBdr>
          <w:left w:val="single" w:color="7F9EB2" w:sz="10" w:space="6"/>
        </w:pBdr>
        <w:spacing w:after="120" w:before="260"/>
      </w:pPr>
      <w:r>
        <w:rPr>
          <w:rFonts w:ascii="Arial" w:cs="Arial" w:eastAsia="Arial" w:hAnsi="Arial"/>
          <w:b/>
          <w:bCs/>
          <w:color w:val="2E5280"/>
          <w:sz w:val="22"/>
          <w:szCs w:val="22"/>
        </w:rPr>
        <w:t xml:space="preserve">Tier 3 — Advanced  (Cisco infrastructure · live CVE correlation · cross-vendor)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20"/>
        <w:gridCol w:w="2280"/>
        <w:gridCol w:w="4260"/>
      </w:tblGrid>
      <w:tr>
        <w:tc>
          <w:tcPr>
            <w:tcW w:type="dxa" w:w="11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Tier</w:t>
            </w:r>
          </w:p>
        </w:tc>
        <w:tc>
          <w:tcPr>
            <w:tcW w:type="dxa" w:w="172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Category</w:t>
            </w:r>
          </w:p>
        </w:tc>
        <w:tc>
          <w:tcPr>
            <w:tcW w:type="dxa" w:w="228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Equipment / Models</w:t>
            </w:r>
          </w:p>
        </w:tc>
        <w:tc>
          <w:tcPr>
            <w:tcW w:type="dxa" w:w="42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Scenarios Supported</w:t>
            </w:r>
          </w:p>
        </w:tc>
      </w:tr>
      <w:tr>
        <w:tc>
          <w:tcPr>
            <w:tcW w:type="dxa" w:w="1100"/>
            <w:tcBorders>
              <w:top w:val="single" w:color="C5D0DC" w:sz="1"/>
              <w:left w:val="single" w:color="880E4F" w:sz="14"/>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880E4F"/>
                <w:sz w:val="18"/>
                <w:szCs w:val="18"/>
              </w:rPr>
              <w:t xml:space="preserve">Advanced</w:t>
            </w:r>
          </w:p>
        </w:tc>
        <w:tc>
          <w:tcPr>
            <w:tcW w:type="dxa" w:w="172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1E3A5F"/>
                <w:sz w:val="19"/>
                <w:szCs w:val="19"/>
              </w:rPr>
              <w:t xml:space="preserve">Cisco Switches</w:t>
            </w:r>
          </w:p>
        </w:tc>
        <w:tc>
          <w:tcPr>
            <w:tcW w:type="dxa" w:w="228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Catalyst 9300 / 9500X / 9600X</w:t>
            </w:r>
          </w:p>
        </w:tc>
        <w:tc>
          <w:tcPr>
            <w:tcW w:type="dxa" w:w="426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IOS XE vulnerability assessment, DHCP snooping DoS, Secure Boot bypass, privilege escalation chain (CVE-2026-20114 + CVE-2026-20110)</w:t>
            </w:r>
          </w:p>
        </w:tc>
      </w:tr>
      <w:tr>
        <w:tc>
          <w:tcPr>
            <w:tcW w:type="dxa" w:w="1100"/>
            <w:tcBorders>
              <w:top w:val="single" w:color="C5D0DC" w:sz="1"/>
              <w:left w:val="single" w:color="880E4F" w:sz="14"/>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bCs/>
                <w:color w:val="880E4F"/>
                <w:sz w:val="18"/>
                <w:szCs w:val="18"/>
              </w:rPr>
              <w:t xml:space="preserve">Advanced</w:t>
            </w:r>
          </w:p>
        </w:tc>
        <w:tc>
          <w:tcPr>
            <w:tcW w:type="dxa" w:w="1720"/>
            <w:tcBorders>
              <w:top w:val="single" w:color="C5D0DC" w:sz="1"/>
              <w:left w:val="single" w:color="C5D0DC" w:sz="1"/>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bCs/>
                <w:color w:val="1E3A5F"/>
                <w:sz w:val="19"/>
                <w:szCs w:val="19"/>
              </w:rPr>
              <w:t xml:space="preserve">Cisco SD-WAN</w:t>
            </w:r>
          </w:p>
        </w:tc>
        <w:tc>
          <w:tcPr>
            <w:tcW w:type="dxa" w:w="2280"/>
            <w:tcBorders>
              <w:top w:val="single" w:color="C5D0DC" w:sz="1"/>
              <w:left w:val="single" w:color="C5D0DC" w:sz="1"/>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Catalyst SD-WAN (IOS XE)</w:t>
            </w:r>
          </w:p>
        </w:tc>
        <w:tc>
          <w:tcPr>
            <w:tcW w:type="dxa" w:w="4260"/>
            <w:tcBorders>
              <w:top w:val="single" w:color="C5D0DC" w:sz="1"/>
              <w:left w:val="single" w:color="C5D0DC" w:sz="1"/>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February 2026 SD-WAN advisory remediation, overlay policy faults, control-plane connectivity, vManage health</w:t>
            </w:r>
          </w:p>
        </w:tc>
      </w:tr>
      <w:tr>
        <w:tc>
          <w:tcPr>
            <w:tcW w:type="dxa" w:w="1100"/>
            <w:tcBorders>
              <w:top w:val="single" w:color="C5D0DC" w:sz="1"/>
              <w:left w:val="single" w:color="880E4F" w:sz="14"/>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880E4F"/>
                <w:sz w:val="18"/>
                <w:szCs w:val="18"/>
              </w:rPr>
              <w:t xml:space="preserve">Advanced</w:t>
            </w:r>
          </w:p>
        </w:tc>
        <w:tc>
          <w:tcPr>
            <w:tcW w:type="dxa" w:w="172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1E3A5F"/>
                <w:sz w:val="19"/>
                <w:szCs w:val="19"/>
              </w:rPr>
              <w:t xml:space="preserve">Cisco Identity</w:t>
            </w:r>
          </w:p>
        </w:tc>
        <w:tc>
          <w:tcPr>
            <w:tcW w:type="dxa" w:w="228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Cisco ISE</w:t>
            </w:r>
          </w:p>
        </w:tc>
        <w:tc>
          <w:tcPr>
            <w:tcW w:type="dxa" w:w="426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Security advisory correlation, policy node health, certificate expiry, RADIUS authentication failure chain</w:t>
            </w:r>
          </w:p>
        </w:tc>
      </w:tr>
      <w:tr>
        <w:tc>
          <w:tcPr>
            <w:tcW w:type="dxa" w:w="1100"/>
            <w:tcBorders>
              <w:top w:val="single" w:color="C5D0DC" w:sz="1"/>
              <w:left w:val="single" w:color="880E4F" w:sz="14"/>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bCs/>
                <w:color w:val="880E4F"/>
                <w:sz w:val="18"/>
                <w:szCs w:val="18"/>
              </w:rPr>
              <w:t xml:space="preserve">Advanced</w:t>
            </w:r>
          </w:p>
        </w:tc>
        <w:tc>
          <w:tcPr>
            <w:tcW w:type="dxa" w:w="1720"/>
            <w:tcBorders>
              <w:top w:val="single" w:color="C5D0DC" w:sz="1"/>
              <w:left w:val="single" w:color="C5D0DC" w:sz="1"/>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bCs/>
                <w:color w:val="1E3A5F"/>
                <w:sz w:val="19"/>
                <w:szCs w:val="19"/>
              </w:rPr>
              <w:t xml:space="preserve">Live CVE Lookup</w:t>
            </w:r>
          </w:p>
        </w:tc>
        <w:tc>
          <w:tcPr>
            <w:tcW w:type="dxa" w:w="2280"/>
            <w:tcBorders>
              <w:top w:val="single" w:color="C5D0DC" w:sz="1"/>
              <w:left w:val="single" w:color="C5D0DC" w:sz="1"/>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Cisco PSIRT API — all platforms</w:t>
            </w:r>
          </w:p>
        </w:tc>
        <w:tc>
          <w:tcPr>
            <w:tcW w:type="dxa" w:w="4260"/>
            <w:tcBorders>
              <w:top w:val="single" w:color="C5D0DC" w:sz="1"/>
              <w:left w:val="single" w:color="C5D0DC" w:sz="1"/>
              <w:bottom w:val="single" w:color="C5D0DC" w:sz="1"/>
              <w:right w:val="single" w:color="C5D0DC" w:sz="1"/>
            </w:tcBorders>
            <w:shd w:fill="FDF0F5"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Real-time CVE severity, affected version detection, patch urgency (CVSS scoring), advisory content fetch</w:t>
            </w:r>
          </w:p>
        </w:tc>
      </w:tr>
      <w:tr>
        <w:tc>
          <w:tcPr>
            <w:tcW w:type="dxa" w:w="1100"/>
            <w:tcBorders>
              <w:top w:val="single" w:color="C5D0DC" w:sz="1"/>
              <w:left w:val="single" w:color="880E4F" w:sz="14"/>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880E4F"/>
                <w:sz w:val="18"/>
                <w:szCs w:val="18"/>
              </w:rPr>
              <w:t xml:space="preserve">Advanced</w:t>
            </w:r>
          </w:p>
        </w:tc>
        <w:tc>
          <w:tcPr>
            <w:tcW w:type="dxa" w:w="172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1E3A5F"/>
                <w:sz w:val="19"/>
                <w:szCs w:val="19"/>
              </w:rPr>
              <w:t xml:space="preserve">Cross-Vendor Faults</w:t>
            </w:r>
          </w:p>
        </w:tc>
        <w:tc>
          <w:tcPr>
            <w:tcW w:type="dxa" w:w="228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444444"/>
                <w:sz w:val="19"/>
                <w:szCs w:val="19"/>
              </w:rPr>
              <w:t xml:space="preserve">Dell + Cisco + Microsoft + HP + Fujitsu</w:t>
            </w:r>
          </w:p>
        </w:tc>
        <w:tc>
          <w:tcPr>
            <w:tcW w:type="dxa" w:w="426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Multi-device scenario: network path analysis, M365 health overlay, simultaneous manufacturer advisory check, escalation path</w:t>
            </w:r>
          </w:p>
        </w:tc>
      </w:tr>
    </w:tbl>
    <w:p>
      <w:pPr>
        <w:spacing w:after="360"/>
      </w:pPr>
    </w:p>
    <w:p>
      <w:pPr>
        <w:pBdr>
          <w:left w:val="single" w:color="1E3A5F" w:sz="22" w:space="8"/>
        </w:pBdr>
        <w:spacing w:after="140" w:before="360"/>
      </w:pPr>
      <w:r>
        <w:rPr>
          <w:rFonts w:ascii="Arial" w:cs="Arial" w:eastAsia="Arial" w:hAnsi="Arial"/>
          <w:b/>
          <w:bCs/>
          <w:color w:val="1E3A5F"/>
          <w:sz w:val="28"/>
          <w:szCs w:val="28"/>
        </w:rPr>
        <w:t xml:space="preserve">Microsoft Ecosystem Coverage</w:t>
      </w:r>
    </w:p>
    <w:p>
      <w:pPr>
        <w:spacing w:after="160"/>
      </w:pPr>
      <w:r>
        <w:rPr>
          <w:rFonts w:ascii="Arial" w:cs="Arial" w:eastAsia="Arial" w:hAnsi="Arial"/>
          <w:i/>
          <w:iCs/>
          <w:color w:val="555555"/>
          <w:sz w:val="19"/>
          <w:szCs w:val="19"/>
        </w:rPr>
        <w:t xml:space="preserve">Microsoft support spans four distinct levels — from Windows 11 field issues handled daily by technicians, up through enterprise automation and Azure developer tooling. Most practitioners operate at one or two levels. This practice covers all four.</w:t>
      </w:r>
    </w:p>
    <w:p>
      <w:pPr>
        <w:pBdr>
          <w:left w:val="single" w:color="7F9EB2" w:sz="10" w:space="6"/>
        </w:pBdr>
        <w:spacing w:after="120" w:before="260"/>
      </w:pPr>
      <w:r>
        <w:rPr>
          <w:rFonts w:ascii="Arial" w:cs="Arial" w:eastAsia="Arial" w:hAnsi="Arial"/>
          <w:b/>
          <w:bCs/>
          <w:color w:val="0D47A1"/>
          <w:sz w:val="22"/>
          <w:szCs w:val="22"/>
        </w:rPr>
        <w:t xml:space="preserve">Level 1  —  Field (Windows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Area</w:t>
            </w:r>
          </w:p>
        </w:tc>
        <w:tc>
          <w:tcPr>
            <w:tcW w:type="dxa" w:w="66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Was Done / What We Handle</w:t>
            </w:r>
          </w:p>
        </w:tc>
      </w:tr>
      <w:tr>
        <w:tc>
          <w:tcPr>
            <w:tcW w:type="dxa" w:w="2760"/>
            <w:tcBorders>
              <w:top w:val="single" w:color="C5D0DC" w:sz="1"/>
              <w:left w:val="single" w:color="C5D0DC" w:sz="1"/>
              <w:bottom w:val="single" w:color="C5D0DC" w:sz="1"/>
              <w:right w:val="single" w:color="C5D0DC" w:sz="1"/>
            </w:tcBorders>
            <w:shd w:fill="E3F2FD" w:val="clear"/>
            <w:tcMar>
              <w:top w:type="dxa" w:w="90"/>
              <w:left w:type="dxa" w:w="150"/>
              <w:bottom w:type="dxa" w:w="90"/>
              <w:right w:type="dxa" w:w="150"/>
            </w:tcMar>
            <w:vAlign w:val="center"/>
          </w:tcPr>
          <w:p>
            <w:r>
              <w:rPr>
                <w:rFonts w:ascii="Arial" w:cs="Arial" w:eastAsia="Arial" w:hAnsi="Arial"/>
                <w:b/>
                <w:bCs/>
                <w:color w:val="0D47A1"/>
                <w:sz w:val="19"/>
                <w:szCs w:val="19"/>
              </w:rPr>
              <w:t xml:space="preserve">Windows 11 Driver Management</w:t>
            </w:r>
          </w:p>
        </w:tc>
        <w:tc>
          <w:tcPr>
            <w:tcW w:type="dxa" w:w="6600"/>
            <w:tcBorders>
              <w:top w:val="single" w:color="C5D0DC" w:sz="1"/>
              <w:left w:val="single" w:color="C5D0DC" w:sz="1"/>
              <w:bottom w:val="single" w:color="C5D0DC" w:sz="1"/>
              <w:right w:val="single" w:color="C5D0DC" w:sz="1"/>
            </w:tcBorders>
            <w:shd w:fill="E3F2FD"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Chipset, BIOS, Wi-Fi, GPU, and peripheral drivers; Dell support portal navigation; SFC/DISM repair</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0D47A1"/>
                <w:sz w:val="19"/>
                <w:szCs w:val="19"/>
              </w:rPr>
              <w:t xml:space="preserve">Boot &amp; Startup Diagnostics</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F12 One Time Boot, WinRE, Safe Mode; no-boot triage; Dell ePSA hardware diagnostic</w:t>
            </w:r>
          </w:p>
        </w:tc>
      </w:tr>
      <w:tr>
        <w:tc>
          <w:tcPr>
            <w:tcW w:type="dxa" w:w="2760"/>
            <w:tcBorders>
              <w:top w:val="single" w:color="C5D0DC" w:sz="1"/>
              <w:left w:val="single" w:color="C5D0DC" w:sz="1"/>
              <w:bottom w:val="single" w:color="C5D0DC" w:sz="1"/>
              <w:right w:val="single" w:color="C5D0DC" w:sz="1"/>
            </w:tcBorders>
            <w:shd w:fill="E3F2FD" w:val="clear"/>
            <w:tcMar>
              <w:top w:type="dxa" w:w="90"/>
              <w:left w:type="dxa" w:w="150"/>
              <w:bottom w:type="dxa" w:w="90"/>
              <w:right w:type="dxa" w:w="150"/>
            </w:tcMar>
            <w:vAlign w:val="center"/>
          </w:tcPr>
          <w:p>
            <w:r>
              <w:rPr>
                <w:rFonts w:ascii="Arial" w:cs="Arial" w:eastAsia="Arial" w:hAnsi="Arial"/>
                <w:b/>
                <w:bCs/>
                <w:color w:val="0D47A1"/>
                <w:sz w:val="19"/>
                <w:szCs w:val="19"/>
              </w:rPr>
              <w:t xml:space="preserve">Windows 11 Update Issues</w:t>
            </w:r>
          </w:p>
        </w:tc>
        <w:tc>
          <w:tcPr>
            <w:tcW w:type="dxa" w:w="6600"/>
            <w:tcBorders>
              <w:top w:val="single" w:color="C5D0DC" w:sz="1"/>
              <w:left w:val="single" w:color="C5D0DC" w:sz="1"/>
              <w:bottom w:val="single" w:color="C5D0DC" w:sz="1"/>
              <w:right w:val="single" w:color="C5D0DC" w:sz="1"/>
            </w:tcBorders>
            <w:shd w:fill="E3F2FD"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24H2 regression identification (Dell Latitude Windows Hello, Fujitsu scanner USB); rollback procedures</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0D47A1"/>
                <w:sz w:val="19"/>
                <w:szCs w:val="19"/>
              </w:rPr>
              <w:t xml:space="preserve">Device &amp; Peripheral Setup</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USB device recognition, printer/scanner driver install, docking station configuration, display drivers</w:t>
            </w:r>
          </w:p>
        </w:tc>
      </w:tr>
    </w:tbl>
    <w:p>
      <w:pPr>
        <w:spacing w:after="200"/>
      </w:pPr>
    </w:p>
    <w:p>
      <w:pPr>
        <w:pBdr>
          <w:left w:val="single" w:color="7F9EB2" w:sz="10" w:space="6"/>
        </w:pBdr>
        <w:spacing w:after="120" w:before="260"/>
      </w:pPr>
      <w:r>
        <w:rPr>
          <w:rFonts w:ascii="Arial" w:cs="Arial" w:eastAsia="Arial" w:hAnsi="Arial"/>
          <w:b/>
          <w:bCs/>
          <w:color w:val="1B5E20"/>
          <w:sz w:val="22"/>
          <w:szCs w:val="22"/>
        </w:rPr>
        <w:t xml:space="preserve">Level 2  —  Microsoft 365 (Exchange, Teams, SharePoint)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Area</w:t>
            </w:r>
          </w:p>
        </w:tc>
        <w:tc>
          <w:tcPr>
            <w:tcW w:type="dxa" w:w="66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Was Done / What We Handle</w:t>
            </w:r>
          </w:p>
        </w:tc>
      </w:tr>
      <w:tr>
        <w:tc>
          <w:tcPr>
            <w:tcW w:type="dxa" w:w="27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B5E20"/>
                <w:sz w:val="19"/>
                <w:szCs w:val="19"/>
              </w:rPr>
              <w:t xml:space="preserve">Exchange Online</w:t>
            </w:r>
          </w:p>
        </w:tc>
        <w:tc>
          <w:tcPr>
            <w:tcW w:type="dxa" w:w="660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NDR code diagnosis (5.7.501 outbound spam block, 550 delivery failures); mail flow troubleshooting; tenant reputation</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B5E20"/>
                <w:sz w:val="19"/>
                <w:szCs w:val="19"/>
              </w:rPr>
              <w:t xml:space="preserve">SharePoint Online</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Library architecture and permissions; document upload via Graph API; column configuration; KB structure design</w:t>
            </w:r>
          </w:p>
        </w:tc>
      </w:tr>
      <w:tr>
        <w:tc>
          <w:tcPr>
            <w:tcW w:type="dxa" w:w="276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bCs/>
                <w:color w:val="1B5E20"/>
                <w:sz w:val="19"/>
                <w:szCs w:val="19"/>
              </w:rPr>
              <w:t xml:space="preserve">Microsoft Teams</w:t>
            </w:r>
          </w:p>
        </w:tc>
        <w:tc>
          <w:tcPr>
            <w:tcW w:type="dxa" w:w="6600"/>
            <w:tcBorders>
              <w:top w:val="single" w:color="C5D0DC" w:sz="1"/>
              <w:left w:val="single" w:color="C5D0DC" w:sz="1"/>
              <w:bottom w:val="single" w:color="C5D0DC" w:sz="1"/>
              <w:right w:val="single" w:color="C5D0DC" w:sz="1"/>
            </w:tcBorders>
            <w:shd w:fill="E8F5E9"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Presence fault isolation; reaction-based automation triggers; channel knowledge capture via Power Automate</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B5E20"/>
                <w:sz w:val="19"/>
                <w:szCs w:val="19"/>
              </w:rPr>
              <w:t xml:space="preserve">M365 Admin &amp; Service Health</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Service health dashboard; active incident vs local fault distinction; planned maintenance monitoring via API</w:t>
            </w:r>
          </w:p>
        </w:tc>
      </w:tr>
    </w:tbl>
    <w:p>
      <w:pPr>
        <w:spacing w:after="200"/>
      </w:pPr>
    </w:p>
    <w:p>
      <w:pPr>
        <w:pBdr>
          <w:left w:val="single" w:color="7F9EB2" w:sz="10" w:space="6"/>
        </w:pBdr>
        <w:spacing w:after="120" w:before="260"/>
      </w:pPr>
      <w:r>
        <w:rPr>
          <w:rFonts w:ascii="Arial" w:cs="Arial" w:eastAsia="Arial" w:hAnsi="Arial"/>
          <w:b/>
          <w:bCs/>
          <w:color w:val="E65100"/>
          <w:sz w:val="22"/>
          <w:szCs w:val="22"/>
        </w:rPr>
        <w:t xml:space="preserve">Level 3  —  Power Automate &amp;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Area</w:t>
            </w:r>
          </w:p>
        </w:tc>
        <w:tc>
          <w:tcPr>
            <w:tcW w:type="dxa" w:w="66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Was Done / What We Handle</w:t>
            </w:r>
          </w:p>
        </w:tc>
      </w:tr>
      <w:tr>
        <w:tc>
          <w:tcPr>
            <w:tcW w:type="dxa" w:w="276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E65100"/>
                <w:sz w:val="19"/>
                <w:szCs w:val="19"/>
              </w:rPr>
              <w:t xml:space="preserve">Cloud Flow Design</w:t>
            </w:r>
          </w:p>
        </w:tc>
        <w:tc>
          <w:tcPr>
            <w:tcW w:type="dxa" w:w="660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Email trigger flows, Teams reaction flows, conditional routing by content type, SharePoint file creation actions</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E65100"/>
                <w:sz w:val="19"/>
                <w:szCs w:val="19"/>
              </w:rPr>
              <w:t xml:space="preserve">Passive Knowledge Capture</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Email-to-KB flow monitors a mailbox; Teams bookmark captures message threads — both upload to SharePoint automatically</w:t>
            </w:r>
          </w:p>
        </w:tc>
      </w:tr>
      <w:tr>
        <w:tc>
          <w:tcPr>
            <w:tcW w:type="dxa" w:w="276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bCs/>
                <w:color w:val="E65100"/>
                <w:sz w:val="19"/>
                <w:szCs w:val="19"/>
              </w:rPr>
              <w:t xml:space="preserve">Flow Troubleshooting</w:t>
            </w:r>
          </w:p>
        </w:tc>
        <w:tc>
          <w:tcPr>
            <w:tcW w:type="dxa" w:w="6600"/>
            <w:tcBorders>
              <w:top w:val="single" w:color="C5D0DC" w:sz="1"/>
              <w:left w:val="single" w:color="C5D0DC" w:sz="1"/>
              <w:bottom w:val="single" w:color="C5D0DC" w:sz="1"/>
              <w:right w:val="single" w:color="C5D0DC" w:sz="1"/>
            </w:tcBorders>
            <w:shd w:fill="FFF3E0"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Run history analysis, action failure diagnosis, connector permission resolution, trigger condition tuning</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E65100"/>
                <w:sz w:val="19"/>
                <w:szCs w:val="19"/>
              </w:rPr>
              <w:t xml:space="preserve">Automation Architecture</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Designed a passive capture pipeline that grows the KB without manual IT staff effort — continuous improvement by default</w:t>
            </w:r>
          </w:p>
        </w:tc>
      </w:tr>
    </w:tbl>
    <w:p>
      <w:pPr>
        <w:spacing w:after="200"/>
      </w:pPr>
    </w:p>
    <w:p>
      <w:pPr>
        <w:pBdr>
          <w:left w:val="single" w:color="7F9EB2" w:sz="10" w:space="6"/>
        </w:pBdr>
        <w:spacing w:after="120" w:before="260"/>
      </w:pPr>
      <w:r>
        <w:rPr>
          <w:rFonts w:ascii="Arial" w:cs="Arial" w:eastAsia="Arial" w:hAnsi="Arial"/>
          <w:b/>
          <w:bCs/>
          <w:color w:val="880E4F"/>
          <w:sz w:val="22"/>
          <w:szCs w:val="22"/>
        </w:rPr>
        <w:t xml:space="preserve">Level 4  —  Azure AD &amp; Microsoft Graph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Area</w:t>
            </w:r>
          </w:p>
        </w:tc>
        <w:tc>
          <w:tcPr>
            <w:tcW w:type="dxa" w:w="66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Was Done / What We Handle</w:t>
            </w:r>
          </w:p>
        </w:tc>
      </w:tr>
      <w:tr>
        <w:tc>
          <w:tcPr>
            <w:tcW w:type="dxa" w:w="276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880E4F"/>
                <w:sz w:val="19"/>
                <w:szCs w:val="19"/>
              </w:rPr>
              <w:t xml:space="preserve">Azure App Registration</w:t>
            </w:r>
          </w:p>
        </w:tc>
        <w:tc>
          <w:tcPr>
            <w:tcW w:type="dxa" w:w="660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Enterprise app registered in Azure AD; client ID, tenant ID, and secret configured; redirect URIs and token endpoints</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880E4F"/>
                <w:sz w:val="19"/>
                <w:szCs w:val="19"/>
              </w:rPr>
              <w:t xml:space="preserve">OAuth2 Client Credentials Flow</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Programmatic token acquisition; secure credential storage; token refresh handling in Node.js MCP server</w:t>
            </w:r>
          </w:p>
        </w:tc>
      </w:tr>
      <w:tr>
        <w:tc>
          <w:tcPr>
            <w:tcW w:type="dxa" w:w="276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bCs/>
                <w:color w:val="880E4F"/>
                <w:sz w:val="19"/>
                <w:szCs w:val="19"/>
              </w:rPr>
              <w:t xml:space="preserve">Graph API — Mail &amp; SharePoint</w:t>
            </w:r>
          </w:p>
        </w:tc>
        <w:tc>
          <w:tcPr>
            <w:tcW w:type="dxa" w:w="6600"/>
            <w:tcBorders>
              <w:top w:val="single" w:color="C5D0DC" w:sz="1"/>
              <w:left w:val="single" w:color="C5D0DC" w:sz="1"/>
              <w:bottom w:val="single" w:color="C5D0DC" w:sz="1"/>
              <w:right w:val="single" w:color="C5D0DC" w:sz="1"/>
            </w:tcBorders>
            <w:shd w:fill="FCE4EC"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mail.Send via Graph; SharePoint drive file PUT; content-type headers; LIBRARY_DRIVES mapping for 6 libraries</w:t>
            </w:r>
          </w:p>
        </w:tc>
      </w:tr>
      <w:tr>
        <w:tc>
          <w:tcPr>
            <w:tcW w:type="dxa" w:w="276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880E4F"/>
                <w:sz w:val="19"/>
                <w:szCs w:val="19"/>
              </w:rPr>
              <w:t xml:space="preserve">Graph API — Service Health</w:t>
            </w:r>
          </w:p>
        </w:tc>
        <w:tc>
          <w:tcPr>
            <w:tcW w:type="dxa" w:w="66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OData-filtered queries for active M365 incidents and planned maintenance; encoded filter parameters for API compatibility</w:t>
            </w:r>
          </w:p>
        </w:tc>
      </w:tr>
    </w:tbl>
    <w:p>
      <w:pPr>
        <w:spacing w:after="200"/>
      </w:pPr>
    </w:p>
    <w:p>
      <w:pPr>
        <w:spacing w:after="160"/>
      </w:pPr>
    </w:p>
    <w:p>
      <w:pPr>
        <w:pBdr>
          <w:left w:val="single" w:color="1E3A5F" w:sz="22" w:space="8"/>
        </w:pBdr>
        <w:spacing w:after="140" w:before="360"/>
      </w:pPr>
      <w:r>
        <w:rPr>
          <w:rFonts w:ascii="Arial" w:cs="Arial" w:eastAsia="Arial" w:hAnsi="Arial"/>
          <w:b/>
          <w:bCs/>
          <w:color w:val="1E3A5F"/>
          <w:sz w:val="28"/>
          <w:szCs w:val="28"/>
        </w:rPr>
        <w:t xml:space="preserve">How We Work</w:t>
      </w:r>
    </w:p>
    <w:p>
      <w:pPr>
        <w:spacing w:after="160"/>
      </w:pPr>
      <w:r>
        <w:rPr>
          <w:rFonts w:ascii="Arial" w:cs="Arial" w:eastAsia="Arial" w:hAnsi="Arial"/>
          <w:i/>
          <w:iCs/>
          <w:color w:val="555555"/>
          <w:sz w:val="19"/>
          <w:szCs w:val="19"/>
        </w:rPr>
        <w:t xml:space="preserve">Every field engagement follows the same six-step process — from problem intake through to resolution capture. The system handles steps 2–5 automatically; the technician focuses on step 1 and step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000"/>
        <w:gridCol w:w="6920"/>
      </w:tblGrid>
      <w:tr>
        <w:tc>
          <w:tcPr>
            <w:tcW w:type="dxa" w:w="44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t>
            </w:r>
          </w:p>
        </w:tc>
        <w:tc>
          <w:tcPr>
            <w:tcW w:type="dxa" w:w="200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Step</w:t>
            </w:r>
          </w:p>
        </w:tc>
        <w:tc>
          <w:tcPr>
            <w:tcW w:type="dxa" w:w="6920"/>
            <w:tcBorders>
              <w:top w:val="single" w:color="C5D0DC" w:sz="1"/>
              <w:left w:val="single" w:color="C5D0DC" w:sz="1"/>
              <w:bottom w:val="single" w:color="C5D0DC" w:sz="1"/>
              <w:right w:val="single" w:color="C5D0DC" w:sz="1"/>
            </w:tcBorders>
            <w:shd w:fill="1E3A5F"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Happens</w:t>
            </w:r>
          </w:p>
        </w:tc>
      </w:tr>
      <w:tr>
        <w:tc>
          <w:tcPr>
            <w:tcW w:type="dxa" w:w="44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bCs/>
                <w:color w:val="00695C"/>
                <w:sz w:val="19"/>
                <w:szCs w:val="19"/>
              </w:rPr>
              <w:t xml:space="preserve">1</w:t>
            </w:r>
          </w:p>
        </w:tc>
        <w:tc>
          <w:tcPr>
            <w:tcW w:type="dxa" w:w="200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bCs/>
                <w:color w:val="1E3A5F"/>
                <w:sz w:val="19"/>
                <w:szCs w:val="19"/>
              </w:rPr>
              <w:t xml:space="preserve">Problem Input</w:t>
            </w:r>
          </w:p>
        </w:tc>
        <w:tc>
          <w:tcPr>
            <w:tcW w:type="dxa" w:w="692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Describe the issue in plain English — device model, symptom, and what has already been tried</w:t>
            </w:r>
          </w:p>
        </w:tc>
      </w:tr>
      <w:tr>
        <w:tc>
          <w:tcPr>
            <w:tcW w:type="dxa" w:w="44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00695C"/>
                <w:sz w:val="19"/>
                <w:szCs w:val="19"/>
              </w:rPr>
              <w:t xml:space="preserve">2</w:t>
            </w:r>
          </w:p>
        </w:tc>
        <w:tc>
          <w:tcPr>
            <w:tcW w:type="dxa" w:w="20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Instant KB Search</w:t>
            </w:r>
          </w:p>
        </w:tc>
        <w:tc>
          <w:tcPr>
            <w:tcW w:type="dxa" w:w="6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The knowledge base is queried across all six libraries for matching articles and past resolutions</w:t>
            </w:r>
          </w:p>
        </w:tc>
      </w:tr>
      <w:tr>
        <w:tc>
          <w:tcPr>
            <w:tcW w:type="dxa" w:w="44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bCs/>
                <w:color w:val="00695C"/>
                <w:sz w:val="19"/>
                <w:szCs w:val="19"/>
              </w:rPr>
              <w:t xml:space="preserve">3</w:t>
            </w:r>
          </w:p>
        </w:tc>
        <w:tc>
          <w:tcPr>
            <w:tcW w:type="dxa" w:w="200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bCs/>
                <w:color w:val="1E3A5F"/>
                <w:sz w:val="19"/>
                <w:szCs w:val="19"/>
              </w:rPr>
              <w:t xml:space="preserve">Live Manufacturer Pull</w:t>
            </w:r>
          </w:p>
        </w:tc>
        <w:tc>
          <w:tcPr>
            <w:tcW w:type="dxa" w:w="692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Real-time content fetched from the relevant vendor — Dell, HP, Fujitsu, Cisco, or Microsoft Learn</w:t>
            </w:r>
          </w:p>
        </w:tc>
      </w:tr>
      <w:tr>
        <w:tc>
          <w:tcPr>
            <w:tcW w:type="dxa" w:w="44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00695C"/>
                <w:sz w:val="19"/>
                <w:szCs w:val="19"/>
              </w:rPr>
              <w:t xml:space="preserve">4</w:t>
            </w:r>
          </w:p>
        </w:tc>
        <w:tc>
          <w:tcPr>
            <w:tcW w:type="dxa" w:w="20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Health &amp; Security Check</w:t>
            </w:r>
          </w:p>
        </w:tc>
        <w:tc>
          <w:tcPr>
            <w:tcW w:type="dxa" w:w="6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M365 service health queried; Cisco CVEs cross-referenced if network equipment is involved</w:t>
            </w:r>
          </w:p>
        </w:tc>
      </w:tr>
      <w:tr>
        <w:tc>
          <w:tcPr>
            <w:tcW w:type="dxa" w:w="44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bCs/>
                <w:color w:val="00695C"/>
                <w:sz w:val="19"/>
                <w:szCs w:val="19"/>
              </w:rPr>
              <w:t xml:space="preserve">5</w:t>
            </w:r>
          </w:p>
        </w:tc>
        <w:tc>
          <w:tcPr>
            <w:tcW w:type="dxa" w:w="200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bCs/>
                <w:color w:val="1E3A5F"/>
                <w:sz w:val="19"/>
                <w:szCs w:val="19"/>
              </w:rPr>
              <w:t xml:space="preserve">Report Delivered</w:t>
            </w:r>
          </w:p>
        </w:tc>
        <w:tc>
          <w:tcPr>
            <w:tcW w:type="dxa" w:w="6920"/>
            <w:tcBorders>
              <w:top w:val="single" w:color="C5D0DC" w:sz="1"/>
              <w:left w:val="single" w:color="C5D0DC" w:sz="1"/>
              <w:bottom w:val="single" w:color="C5D0DC" w:sz="1"/>
              <w:right w:val="single" w:color="C5D0DC" w:sz="1"/>
            </w:tcBorders>
            <w:shd w:fill="E0F2F1"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Structured output returned: Quick Checks → Manufacturer Findings → Test Scenarios → Escalation Path</w:t>
            </w:r>
          </w:p>
        </w:tc>
      </w:tr>
      <w:tr>
        <w:tc>
          <w:tcPr>
            <w:tcW w:type="dxa" w:w="44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00695C"/>
                <w:sz w:val="19"/>
                <w:szCs w:val="19"/>
              </w:rPr>
              <w:t xml:space="preserve">6</w:t>
            </w:r>
          </w:p>
        </w:tc>
        <w:tc>
          <w:tcPr>
            <w:tcW w:type="dxa" w:w="200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bCs/>
                <w:color w:val="1E3A5F"/>
                <w:sz w:val="19"/>
                <w:szCs w:val="19"/>
              </w:rPr>
              <w:t xml:space="preserve">Resolution Captured</w:t>
            </w:r>
          </w:p>
        </w:tc>
        <w:tc>
          <w:tcPr>
            <w:tcW w:type="dxa" w:w="6920"/>
            <w:tcBorders>
              <w:top w:val="single" w:color="C5D0DC" w:sz="1"/>
              <w:left w:val="single" w:color="C5D0DC" w:sz="1"/>
              <w:bottom w:val="single" w:color="C5D0DC" w:sz="1"/>
              <w:right w:val="single" w:color="C5D0DC" w:sz="1"/>
            </w:tcBorders>
            <w:shd w:fill="FFFFFF" w:val="clear"/>
            <w:tcMar>
              <w:top w:type="dxa" w:w="90"/>
              <w:left w:type="dxa" w:w="150"/>
              <w:bottom w:type="dxa" w:w="90"/>
              <w:right w:type="dxa" w:w="150"/>
            </w:tcMar>
            <w:vAlign w:val="center"/>
          </w:tcPr>
          <w:p>
            <w:r>
              <w:rPr>
                <w:rFonts w:ascii="Arial" w:cs="Arial" w:eastAsia="Arial" w:hAnsi="Arial"/>
                <w:b w:val="false"/>
                <w:bCs w:val="false"/>
                <w:color w:val="333333"/>
                <w:sz w:val="19"/>
                <w:szCs w:val="19"/>
              </w:rPr>
              <w:t xml:space="preserve">Successful resolutions saved directly to the KB — the system gets smarter with every field case</w:t>
            </w:r>
          </w:p>
        </w:tc>
      </w:tr>
    </w:tbl>
    <w:p>
      <w:pPr>
        <w:spacing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14"/>
              <w:bottom w:val="single" w:color="C5D0DC" w:sz="1"/>
              <w:right w:val="single" w:color="C5D0DC" w:sz="1"/>
            </w:tcBorders>
            <w:shd w:fill="E8F0FE" w:val="clear"/>
            <w:tcMar>
              <w:top w:type="dxa" w:w="160"/>
              <w:left w:type="dxa" w:w="240"/>
              <w:bottom w:type="dxa" w:w="160"/>
              <w:right w:type="dxa" w:w="240"/>
            </w:tcMar>
          </w:tcPr>
          <w:p>
            <w:pPr>
              <w:spacing w:after="80"/>
            </w:pPr>
            <w:r>
              <w:rPr>
                <w:rFonts w:ascii="Arial" w:cs="Arial" w:eastAsia="Arial" w:hAnsi="Arial"/>
                <w:b/>
                <w:bCs/>
                <w:color w:val="1E3A5F"/>
                <w:sz w:val="21"/>
                <w:szCs w:val="21"/>
              </w:rPr>
              <w:t xml:space="preserve">Accessible Anywhere — Desktop &amp; Mobile</w:t>
            </w:r>
          </w:p>
          <w:p>
            <w:r>
              <w:rPr>
                <w:rFonts w:ascii="Arial" w:cs="Arial" w:eastAsia="Arial" w:hAnsi="Arial"/>
                <w:color w:val="444444"/>
                <w:sz w:val="19"/>
                <w:szCs w:val="19"/>
              </w:rPr>
              <w:t xml:space="preserve">All services are delivered through cloud infrastructure. The SharePoint Knowledge Base, AI agent interface, and Power Automate flows are accessible from any web browser — including smartphones and tablets. There is no local server, no VPN requirement, and no desktop dependency. The system works wherever the technician is.</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6"/>
      </w:pBdr>
      <w:jc w:val="center"/>
    </w:pPr>
    <w:r>
      <w:rPr>
        <w:rFonts w:ascii="Arial" w:cs="Arial" w:eastAsia="Arial" w:hAnsi="Arial"/>
        <w:color w:val="7F9EB2"/>
        <w:sz w:val="16"/>
        <w:szCs w:val="16"/>
      </w:rPr>
      <w:t xml:space="preserve">Powered by IT Knowledge Agent  ·  Page </w:t>
    </w:r>
    <w:r>
      <w:rPr>
        <w:rFonts w:ascii="Arial" w:cs="Arial" w:eastAsia="Arial" w:hAnsi="Arial"/>
        <w:color w:val="7F9EB2"/>
        <w:sz w:val="16"/>
        <w:szCs w:val="16"/>
      </w:rPr>
      <w:fldChar w:fldCharType="begin"/>
      <w:instrText xml:space="preserve">PAGE</w:instrText>
      <w:fldChar w:fldCharType="separate"/>
      <w:fldChar w:fldCharType="end"/>
    </w:r>
    <w:r>
      <w:rPr>
        <w:rFonts w:ascii="Arial" w:cs="Arial" w:eastAsia="Arial" w:hAnsi="Arial"/>
        <w:color w:val="7F9EB2"/>
        <w:sz w:val="16"/>
        <w:szCs w:val="16"/>
      </w:rPr>
      <w:t xml:space="preserve"> of </w:t>
    </w:r>
    <w:r>
      <w:rPr>
        <w:rFonts w:ascii="Arial" w:cs="Arial" w:eastAsia="Arial" w:hAnsi="Arial"/>
        <w:color w:val="7F9EB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6"/>
      </w:pBdr>
      <w:tabs>
        <w:tab w:val="right" w:pos="9026"/>
      </w:tabs>
      <w:spacing w:after="0"/>
    </w:pPr>
    <w:r>
      <w:rPr>
        <w:rFonts w:ascii="Arial" w:cs="Arial" w:eastAsia="Arial" w:hAnsi="Arial"/>
        <w:color w:val="7F9EB2"/>
        <w:sz w:val="16"/>
        <w:szCs w:val="16"/>
      </w:rPr>
      <w:t xml:space="preserve">IT Services &amp; Intelligent Systems Support  —  Capabilities Profile</w:t>
    </w:r>
    <w:r>
      <w:rPr>
        <w:rFonts w:ascii="Arial" w:cs="Arial" w:eastAsia="Arial" w:hAnsi="Arial"/>
        <w:color w:val="7F9EB2"/>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2026-04-12T12:16:06.093Z</dcterms:created>
  <dcterms:modified xsi:type="dcterms:W3CDTF">2026-04-12T12:16:06.094Z</dcterms:modified>
</cp:coreProperties>
</file>

<file path=docProps/custom.xml><?xml version="1.0" encoding="utf-8"?>
<Properties xmlns="http://schemas.openxmlformats.org/officeDocument/2006/custom-properties" xmlns:vt="http://schemas.openxmlformats.org/officeDocument/2006/docPropsVTypes"/>
</file>