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FB18F3E" Type="http://schemas.openxmlformats.org/officeDocument/2006/relationships/officeDocument" Target="/word/document.xml" /><Relationship Id="coreR4FB18F3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2"/>
        <w:jc w:val="center"/>
        <w:rPr>
          <w:rStyle w:val="C3"/>
          <w:rFonts w:ascii="Courier New" w:hAnsi="Courier New"/>
          <w:b w:val="1"/>
          <w:color w:val="auto"/>
        </w:rPr>
      </w:pPr>
    </w:p>
    <w:p>
      <w:pPr>
        <w:pStyle w:val="P2"/>
        <w:jc w:val="center"/>
        <w:rPr>
          <w:rStyle w:val="C3"/>
          <w:rFonts w:ascii="Courier New" w:hAnsi="Courier New"/>
          <w:color w:val="auto"/>
          <w:u w:val="single"/>
        </w:rPr>
      </w:pPr>
      <w:r>
        <w:rPr>
          <w:rStyle w:val="C3"/>
          <w:rFonts w:ascii="Courier New" w:hAnsi="Courier New"/>
          <w:color w:val="auto"/>
          <w:u w:val="single"/>
        </w:rPr>
        <w:t>ORDENANZA Nº 7429</w:t>
      </w:r>
    </w:p>
    <w:p>
      <w:pPr>
        <w:pStyle w:val="P2"/>
        <w:rPr>
          <w:rStyle w:val="C3"/>
          <w:rFonts w:ascii="Courier New" w:hAnsi="Courier New"/>
          <w:b w:val="1"/>
          <w:color w:val="auto"/>
        </w:rPr>
      </w:pPr>
    </w:p>
    <w:p>
      <w:pPr>
        <w:pStyle w:val="P2"/>
        <w:ind w:hanging="709" w:left="709"/>
        <w:rPr>
          <w:rStyle w:val="C3"/>
          <w:rFonts w:ascii="Courier New" w:hAnsi="Courier New"/>
          <w:b w:val="1"/>
          <w:color w:val="auto"/>
        </w:rPr>
      </w:pPr>
      <w:r>
        <w:rPr>
          <w:rStyle w:val="C3"/>
          <w:rFonts w:ascii="Courier New" w:hAnsi="Courier New"/>
          <w:b w:val="0"/>
          <w:color w:val="auto"/>
        </w:rPr>
        <w:t>Visto: El Proyecto de Ordenanza presentado por el Departamento Ejecutivo, modificatorio de la Ordenanza Nº 6847; y</w:t>
      </w:r>
    </w:p>
    <w:p>
      <w:pPr>
        <w:jc w:val="both"/>
        <w:rPr>
          <w:rStyle w:val="C3"/>
          <w:rFonts w:ascii="Courier New" w:hAnsi="Courier New"/>
          <w:b w:val="1"/>
          <w:color w:val="auto"/>
        </w:rPr>
      </w:pPr>
    </w:p>
    <w:p>
      <w:pPr>
        <w:pStyle w:val="P1"/>
      </w:pPr>
      <w:r>
        <w:t>C O N S I D E R A N D O</w:t>
      </w:r>
    </w:p>
    <w:p>
      <w:pPr>
        <w:jc w:val="both"/>
        <w:rPr>
          <w:rStyle w:val="C3"/>
          <w:rFonts w:ascii="Courier New" w:hAnsi="Courier New"/>
          <w:b w:val="1"/>
          <w:color w:val="auto"/>
        </w:rPr>
      </w:pPr>
    </w:p>
    <w:p>
      <w:pPr>
        <w:pStyle w:val="P6"/>
      </w:pPr>
      <w:r>
        <w:t>Que conforme a lo establecido en la Carta Orgánica Municipal en su artículo 79 inc. 15), la organización y funcionamiento de la Administración Pública se establece mediante Ordenanza, a iniciativa exclusiva del Departamento Ejecutivo;</w:t>
      </w:r>
    </w:p>
    <w:p>
      <w:pPr>
        <w:ind w:left="709"/>
        <w:jc w:val="both"/>
        <w:rPr>
          <w:rStyle w:val="C3"/>
          <w:rFonts w:ascii="Courier New" w:hAnsi="Courier New"/>
          <w:b w:val="1"/>
          <w:color w:val="auto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  <w:color w:val="auto"/>
        </w:rPr>
      </w:pPr>
      <w:r>
        <w:rPr>
          <w:rStyle w:val="C3"/>
          <w:rFonts w:ascii="Courier New" w:hAnsi="Courier New"/>
          <w:b w:val="0"/>
          <w:color w:val="auto"/>
        </w:rPr>
        <w:t>Que atento a ello, es necesario proveer al Departamento Ejecutivo los organismos de su dependencia que éste estime pertinentes, para el mejor cumplimiento de las atribuciones que le acuerda el artículo 101, incisos 1 y 11 de la Carta Orgánica Municipal;</w:t>
      </w:r>
    </w:p>
    <w:p>
      <w:pPr>
        <w:ind w:left="709"/>
        <w:jc w:val="both"/>
        <w:rPr>
          <w:rStyle w:val="C3"/>
          <w:rFonts w:ascii="Courier New" w:hAnsi="Courier New"/>
          <w:b w:val="1"/>
          <w:color w:val="auto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  <w:color w:val="auto"/>
        </w:rPr>
      </w:pPr>
      <w:r>
        <w:rPr>
          <w:rStyle w:val="C3"/>
          <w:rFonts w:ascii="Courier New" w:hAnsi="Courier New"/>
          <w:b w:val="0"/>
          <w:color w:val="auto"/>
        </w:rPr>
        <w:t>Que analizado el contenido del Proyecto de Ordenanza por la totalidad de los concejales presentes, se decide aprobar el mismo por unanimidad en Sesión Ordinaria del día 6 de abril de 2006.</w:t>
      </w:r>
    </w:p>
    <w:p>
      <w:pPr>
        <w:jc w:val="both"/>
        <w:rPr>
          <w:rStyle w:val="C3"/>
          <w:rFonts w:ascii="Courier New" w:hAnsi="Courier New"/>
          <w:b w:val="1"/>
          <w:color w:val="auto"/>
        </w:rPr>
      </w:pPr>
    </w:p>
    <w:p>
      <w:pPr>
        <w:jc w:val="both"/>
        <w:rPr>
          <w:rStyle w:val="C3"/>
          <w:rFonts w:ascii="Courier New" w:hAnsi="Courier New"/>
          <w:b w:val="1"/>
          <w:color w:val="auto"/>
        </w:rPr>
      </w:pPr>
    </w:p>
    <w:p>
      <w:pPr>
        <w:tabs>
          <w:tab w:val="left" w:pos="2694" w:leader="none"/>
        </w:tabs>
        <w:jc w:val="center"/>
        <w:rPr>
          <w:rStyle w:val="C3"/>
          <w:rFonts w:ascii="Courier New" w:hAnsi="Courier New"/>
          <w:color w:val="auto"/>
        </w:rPr>
      </w:pPr>
      <w:r>
        <w:rPr>
          <w:rStyle w:val="C3"/>
          <w:rFonts w:ascii="Courier New" w:hAnsi="Courier New"/>
          <w:color w:val="auto"/>
        </w:rPr>
        <w:t xml:space="preserve">EL HONORABLE CONCEJO DELIBERANTE DE LA CIUDAD  DE</w:t>
      </w:r>
    </w:p>
    <w:p>
      <w:pPr>
        <w:tabs>
          <w:tab w:val="left" w:pos="2694" w:leader="none"/>
        </w:tabs>
        <w:jc w:val="center"/>
        <w:rPr>
          <w:rStyle w:val="C3"/>
          <w:rFonts w:ascii="Courier New" w:hAnsi="Courier New"/>
          <w:color w:val="auto"/>
        </w:rPr>
      </w:pPr>
    </w:p>
    <w:p>
      <w:pPr>
        <w:tabs>
          <w:tab w:val="left" w:pos="2694" w:leader="none"/>
        </w:tabs>
        <w:jc w:val="center"/>
        <w:rPr>
          <w:rStyle w:val="C3"/>
          <w:rFonts w:ascii="Courier New" w:hAnsi="Courier New"/>
          <w:color w:val="auto"/>
        </w:rPr>
      </w:pPr>
      <w:r>
        <w:rPr>
          <w:rStyle w:val="C3"/>
          <w:rFonts w:ascii="Courier New" w:hAnsi="Courier New"/>
          <w:color w:val="auto"/>
        </w:rPr>
        <w:t>ALTA GRACIA SANCIONA CON FUERZA DE ORDENANZA</w:t>
      </w:r>
    </w:p>
    <w:p>
      <w:pPr>
        <w:jc w:val="center"/>
        <w:rPr>
          <w:rStyle w:val="C3"/>
          <w:rFonts w:ascii="Courier New" w:hAnsi="Courier New"/>
          <w:b w:val="1"/>
          <w:color w:val="auto"/>
        </w:rPr>
      </w:pPr>
    </w:p>
    <w:p>
      <w:pPr>
        <w:jc w:val="both"/>
        <w:rPr>
          <w:rStyle w:val="C3"/>
          <w:rFonts w:ascii="Courier New" w:hAnsi="Courier New"/>
          <w:b w:val="1"/>
          <w:color w:val="auto"/>
        </w:rPr>
      </w:pPr>
    </w:p>
    <w:p>
      <w:pPr>
        <w:pStyle w:val="P2"/>
        <w:ind w:hanging="709" w:left="709"/>
        <w:rPr>
          <w:rStyle w:val="C3"/>
          <w:rFonts w:ascii="Courier New" w:hAnsi="Courier New"/>
          <w:b w:val="1"/>
          <w:color w:val="auto"/>
        </w:rPr>
      </w:pPr>
      <w:r>
        <w:rPr>
          <w:rStyle w:val="C3"/>
          <w:rFonts w:ascii="Courier New" w:hAnsi="Courier New"/>
          <w:color w:val="auto"/>
          <w:u w:val="single"/>
        </w:rPr>
        <w:t>Art.1</w:t>
      </w:r>
      <w:r>
        <w:rPr>
          <w:rStyle w:val="C3"/>
          <w:rFonts w:ascii="Courier New" w:hAnsi="Courier New"/>
          <w:b w:val="0"/>
          <w:color w:val="auto"/>
        </w:rPr>
        <w:t xml:space="preserve">: </w:t>
      </w:r>
      <w:r>
        <w:rPr>
          <w:rStyle w:val="C3"/>
          <w:rFonts w:ascii="Courier New" w:hAnsi="Courier New"/>
          <w:color w:val="auto"/>
        </w:rPr>
        <w:t>CRÉASE</w:t>
      </w:r>
      <w:r>
        <w:rPr>
          <w:rStyle w:val="C3"/>
          <w:rFonts w:ascii="Courier New" w:hAnsi="Courier New"/>
          <w:b w:val="0"/>
          <w:color w:val="auto"/>
        </w:rPr>
        <w:t xml:space="preserve"> la Dirección de Vivienda de esta Municipalidad, dependiente de la Secretaría de Obras y Servicios Públicos e </w:t>
      </w:r>
      <w:r>
        <w:rPr>
          <w:rStyle w:val="C3"/>
          <w:rFonts w:ascii="Courier New" w:hAnsi="Courier New"/>
          <w:color w:val="auto"/>
        </w:rPr>
        <w:t>INCORPÓRASE</w:t>
      </w:r>
      <w:r>
        <w:rPr>
          <w:rStyle w:val="C3"/>
          <w:rFonts w:ascii="Courier New" w:hAnsi="Courier New"/>
          <w:b w:val="0"/>
          <w:color w:val="auto"/>
        </w:rPr>
        <w:t xml:space="preserve"> la misma al Artículo 12º de la Ordenanza Nº 6847 y modificatorias.</w:t>
      </w:r>
    </w:p>
    <w:p>
      <w:pPr>
        <w:pStyle w:val="P2"/>
        <w:rPr>
          <w:rStyle w:val="C3"/>
          <w:rFonts w:ascii="Courier New" w:hAnsi="Courier New"/>
          <w:b w:val="1"/>
          <w:color w:val="auto"/>
        </w:rPr>
      </w:pPr>
    </w:p>
    <w:p>
      <w:pPr>
        <w:pStyle w:val="P2"/>
        <w:ind w:hanging="709" w:left="709"/>
        <w:rPr>
          <w:rStyle w:val="C3"/>
          <w:rFonts w:ascii="Courier New" w:hAnsi="Courier New"/>
          <w:b w:val="1"/>
          <w:color w:val="auto"/>
        </w:rPr>
      </w:pPr>
      <w:r>
        <w:rPr>
          <w:rStyle w:val="C3"/>
          <w:rFonts w:ascii="Courier New" w:hAnsi="Courier New"/>
          <w:color w:val="auto"/>
          <w:u w:val="single"/>
        </w:rPr>
        <w:t>Art.2</w:t>
      </w:r>
      <w:r>
        <w:rPr>
          <w:rStyle w:val="C3"/>
          <w:rFonts w:ascii="Courier New" w:hAnsi="Courier New"/>
          <w:b w:val="0"/>
          <w:color w:val="auto"/>
        </w:rPr>
        <w:t xml:space="preserve">: </w:t>
      </w:r>
      <w:r>
        <w:rPr>
          <w:rStyle w:val="C3"/>
          <w:rFonts w:ascii="Courier New" w:hAnsi="Courier New"/>
          <w:color w:val="auto"/>
        </w:rPr>
        <w:t>CORRESPONDE</w:t>
      </w:r>
      <w:r>
        <w:rPr>
          <w:rStyle w:val="C3"/>
          <w:rFonts w:ascii="Courier New" w:hAnsi="Courier New"/>
          <w:b w:val="0"/>
          <w:color w:val="auto"/>
        </w:rPr>
        <w:t xml:space="preserve"> a la competencia funcional de la Dirección de Vivienda:</w:t>
      </w:r>
    </w:p>
    <w:p>
      <w:pPr>
        <w:pStyle w:val="P2"/>
        <w:numPr>
          <w:ilvl w:val="0"/>
          <w:numId w:val="5"/>
        </w:numPr>
        <w:tabs>
          <w:tab w:val="left" w:pos="1134" w:leader="none"/>
          <w:tab w:val="clear" w:pos="1429" w:leader="none"/>
        </w:tabs>
        <w:ind w:firstLine="0" w:left="709"/>
        <w:rPr>
          <w:rStyle w:val="C3"/>
          <w:rFonts w:ascii="Courier New" w:hAnsi="Courier New"/>
          <w:b w:val="1"/>
          <w:color w:val="auto"/>
        </w:rPr>
      </w:pPr>
      <w:r>
        <w:rPr>
          <w:rStyle w:val="C3"/>
          <w:rFonts w:ascii="Courier New" w:hAnsi="Courier New"/>
          <w:b w:val="0"/>
          <w:color w:val="auto"/>
        </w:rPr>
        <w:t>Entender en el desarrollo de objetivos, políticas y estrategias en función de las premisas enunciadas por el Departamento Ejecutivo en base a los estudios sociales, económicos, jurídicos y técnicos referidos a los programas de urbanización y vivienda encarados por la Municipalidad de Alta Gracia.</w:t>
      </w:r>
    </w:p>
    <w:p>
      <w:pPr>
        <w:pStyle w:val="P2"/>
        <w:ind w:left="349"/>
        <w:jc w:val="right"/>
        <w:rPr>
          <w:rStyle w:val="C3"/>
          <w:rFonts w:ascii="Courier New" w:hAnsi="Courier New"/>
          <w:b w:val="1"/>
          <w:color w:val="auto"/>
        </w:rPr>
      </w:pPr>
      <w:r>
        <w:rPr>
          <w:rStyle w:val="C3"/>
          <w:rFonts w:ascii="Courier New" w:hAnsi="Courier New"/>
          <w:b w:val="0"/>
          <w:color w:val="auto"/>
        </w:rPr>
        <w:t>...///</w:t>
      </w:r>
    </w:p>
    <w:p>
      <w:pPr>
        <w:pStyle w:val="P2"/>
        <w:rPr>
          <w:rStyle w:val="C3"/>
          <w:rFonts w:ascii="Courier New" w:hAnsi="Courier New"/>
          <w:b w:val="1"/>
          <w:color w:val="auto"/>
        </w:rPr>
      </w:pPr>
    </w:p>
    <w:p>
      <w:pPr>
        <w:pStyle w:val="P2"/>
        <w:rPr>
          <w:rStyle w:val="C3"/>
          <w:rFonts w:ascii="Courier New" w:hAnsi="Courier New"/>
          <w:b w:val="1"/>
          <w:color w:val="auto"/>
        </w:rPr>
      </w:pPr>
    </w:p>
    <w:p>
      <w:pPr>
        <w:pStyle w:val="P2"/>
        <w:rPr>
          <w:rStyle w:val="C3"/>
          <w:rFonts w:ascii="Courier New" w:hAnsi="Courier New"/>
          <w:b w:val="1"/>
          <w:color w:val="auto"/>
        </w:rPr>
      </w:pPr>
    </w:p>
    <w:p>
      <w:pPr>
        <w:pStyle w:val="P2"/>
        <w:rPr>
          <w:rStyle w:val="C3"/>
          <w:rFonts w:ascii="Courier New" w:hAnsi="Courier New"/>
          <w:b w:val="1"/>
          <w:color w:val="auto"/>
        </w:rPr>
      </w:pPr>
    </w:p>
    <w:p>
      <w:pPr>
        <w:pStyle w:val="P2"/>
        <w:rPr>
          <w:rStyle w:val="C3"/>
          <w:rFonts w:ascii="Courier New" w:hAnsi="Courier New"/>
          <w:b w:val="1"/>
          <w:color w:val="auto"/>
        </w:rPr>
      </w:pPr>
    </w:p>
    <w:p>
      <w:pPr>
        <w:pStyle w:val="P2"/>
        <w:rPr>
          <w:rStyle w:val="C3"/>
          <w:rFonts w:ascii="Courier New" w:hAnsi="Courier New"/>
          <w:b w:val="1"/>
          <w:color w:val="auto"/>
        </w:rPr>
      </w:pPr>
    </w:p>
    <w:p>
      <w:pPr>
        <w:pStyle w:val="P2"/>
        <w:rPr>
          <w:rStyle w:val="C3"/>
          <w:rFonts w:ascii="Courier New" w:hAnsi="Courier New"/>
          <w:b w:val="1"/>
          <w:color w:val="auto"/>
        </w:rPr>
      </w:pPr>
    </w:p>
    <w:p>
      <w:pPr>
        <w:pStyle w:val="P2"/>
        <w:rPr>
          <w:rStyle w:val="C3"/>
          <w:rFonts w:ascii="Courier New" w:hAnsi="Courier New"/>
          <w:b w:val="1"/>
          <w:color w:val="auto"/>
        </w:rPr>
      </w:pPr>
      <w:r>
        <w:rPr>
          <w:rStyle w:val="C3"/>
          <w:rFonts w:ascii="Courier New" w:hAnsi="Courier New"/>
          <w:b w:val="0"/>
          <w:color w:val="auto"/>
        </w:rPr>
        <w:t>...///2.-</w:t>
      </w:r>
    </w:p>
    <w:p>
      <w:pPr>
        <w:pStyle w:val="P2"/>
        <w:numPr>
          <w:ilvl w:val="0"/>
          <w:numId w:val="5"/>
        </w:numPr>
        <w:tabs>
          <w:tab w:val="left" w:pos="1134" w:leader="none"/>
          <w:tab w:val="clear" w:pos="1429" w:leader="none"/>
        </w:tabs>
        <w:ind w:firstLine="0" w:left="709"/>
        <w:rPr>
          <w:rStyle w:val="C3"/>
          <w:rFonts w:ascii="Courier New" w:hAnsi="Courier New"/>
          <w:b w:val="1"/>
          <w:color w:val="auto"/>
        </w:rPr>
      </w:pPr>
      <w:r>
        <w:rPr>
          <w:rStyle w:val="C3"/>
          <w:rFonts w:ascii="Courier New" w:hAnsi="Courier New"/>
          <w:b w:val="0"/>
          <w:color w:val="auto"/>
        </w:rPr>
        <w:t>Planificar el desarrollo integrado y equilibrado de dichos programas, implementando mediante medidas, instrumentos y proyectos específicos, adecuadamente coordinados, su efectiva concreción.</w:t>
      </w:r>
    </w:p>
    <w:p>
      <w:pPr>
        <w:pStyle w:val="P2"/>
        <w:numPr>
          <w:ilvl w:val="0"/>
          <w:numId w:val="5"/>
        </w:numPr>
        <w:tabs>
          <w:tab w:val="left" w:pos="1134" w:leader="none"/>
          <w:tab w:val="clear" w:pos="1429" w:leader="none"/>
        </w:tabs>
        <w:ind w:firstLine="0" w:left="709"/>
        <w:rPr>
          <w:rStyle w:val="C3"/>
          <w:rFonts w:ascii="Courier New" w:hAnsi="Courier New"/>
          <w:b w:val="1"/>
          <w:color w:val="auto"/>
        </w:rPr>
      </w:pPr>
      <w:r>
        <w:rPr>
          <w:rStyle w:val="C3"/>
          <w:rFonts w:ascii="Courier New" w:hAnsi="Courier New"/>
          <w:b w:val="0"/>
          <w:color w:val="auto"/>
        </w:rPr>
        <w:t>Planificar la articulación, coordinación y evaluación en forma participada de las acciones públicas y privadas destinadas a programas de urbanización y vivienda.</w:t>
      </w:r>
    </w:p>
    <w:p>
      <w:pPr>
        <w:pStyle w:val="P2"/>
        <w:ind w:left="709"/>
        <w:rPr>
          <w:rStyle w:val="C3"/>
          <w:rFonts w:ascii="Courier New" w:hAnsi="Courier New"/>
          <w:b w:val="1"/>
          <w:color w:val="auto"/>
          <w:u w:val="single"/>
        </w:rPr>
      </w:pPr>
      <w:r>
        <w:rPr>
          <w:rStyle w:val="C3"/>
          <w:rFonts w:ascii="Courier New" w:hAnsi="Courier New"/>
          <w:b w:val="0"/>
          <w:color w:val="auto"/>
          <w:u w:val="single"/>
        </w:rPr>
        <w:t>Tareas o funciones:</w:t>
      </w:r>
    </w:p>
    <w:p>
      <w:pPr>
        <w:pStyle w:val="P2"/>
        <w:numPr>
          <w:ilvl w:val="0"/>
          <w:numId w:val="6"/>
        </w:numPr>
        <w:tabs>
          <w:tab w:val="left" w:pos="1134" w:leader="none"/>
          <w:tab w:val="clear" w:pos="1429" w:leader="none"/>
        </w:tabs>
        <w:ind w:firstLine="0" w:left="709"/>
        <w:rPr>
          <w:rStyle w:val="C3"/>
          <w:rFonts w:ascii="Courier New" w:hAnsi="Courier New"/>
          <w:b w:val="1"/>
          <w:color w:val="auto"/>
        </w:rPr>
      </w:pPr>
      <w:r>
        <w:rPr>
          <w:rStyle w:val="C3"/>
          <w:rFonts w:ascii="Courier New" w:hAnsi="Courier New"/>
          <w:b w:val="0"/>
          <w:color w:val="auto"/>
        </w:rPr>
        <w:t>Elaborar la planificación, los programas y proyectos para responder a la demanda habitacional, para el corto, mediano y largo plazo.</w:t>
      </w:r>
    </w:p>
    <w:p>
      <w:pPr>
        <w:pStyle w:val="P2"/>
        <w:numPr>
          <w:ilvl w:val="0"/>
          <w:numId w:val="6"/>
        </w:numPr>
        <w:tabs>
          <w:tab w:val="left" w:pos="1134" w:leader="none"/>
          <w:tab w:val="clear" w:pos="1429" w:leader="none"/>
        </w:tabs>
        <w:ind w:firstLine="0" w:left="709"/>
        <w:rPr>
          <w:rStyle w:val="C3"/>
          <w:rFonts w:ascii="Courier New" w:hAnsi="Courier New"/>
          <w:b w:val="1"/>
          <w:color w:val="auto"/>
        </w:rPr>
      </w:pPr>
      <w:r>
        <w:rPr>
          <w:rStyle w:val="C3"/>
          <w:rFonts w:ascii="Courier New" w:hAnsi="Courier New"/>
          <w:b w:val="0"/>
          <w:color w:val="auto"/>
        </w:rPr>
        <w:t>Elaborar, conformar y gestionar, mediante instrumentos y normas legales adecuadas, el Fondo económico y financiero para atender las inversiones necesarias para la concreción de los programas.</w:t>
      </w:r>
    </w:p>
    <w:p>
      <w:pPr>
        <w:pStyle w:val="P2"/>
        <w:numPr>
          <w:ilvl w:val="0"/>
          <w:numId w:val="6"/>
        </w:numPr>
        <w:tabs>
          <w:tab w:val="left" w:pos="1134" w:leader="none"/>
          <w:tab w:val="clear" w:pos="1429" w:leader="none"/>
        </w:tabs>
        <w:ind w:firstLine="0" w:left="709"/>
        <w:rPr>
          <w:rStyle w:val="C3"/>
          <w:rFonts w:ascii="Courier New" w:hAnsi="Courier New"/>
          <w:b w:val="1"/>
          <w:color w:val="auto"/>
        </w:rPr>
      </w:pPr>
      <w:r>
        <w:rPr>
          <w:rStyle w:val="C3"/>
          <w:rFonts w:ascii="Courier New" w:hAnsi="Courier New"/>
          <w:b w:val="0"/>
          <w:color w:val="auto"/>
        </w:rPr>
        <w:t>Elaborar, conformar y gestionar, mediante instrumentos y normas legales adecuadas, el Banco de tierras para atender las demandas de suelo necesarias para la concreción de los programas.</w:t>
      </w:r>
    </w:p>
    <w:p>
      <w:pPr>
        <w:pStyle w:val="P2"/>
        <w:numPr>
          <w:ilvl w:val="0"/>
          <w:numId w:val="6"/>
        </w:numPr>
        <w:tabs>
          <w:tab w:val="left" w:pos="1134" w:leader="none"/>
          <w:tab w:val="clear" w:pos="1429" w:leader="none"/>
        </w:tabs>
        <w:ind w:firstLine="0" w:left="709"/>
        <w:rPr>
          <w:rStyle w:val="C3"/>
          <w:rFonts w:ascii="Courier New" w:hAnsi="Courier New"/>
          <w:b w:val="1"/>
          <w:color w:val="auto"/>
        </w:rPr>
      </w:pPr>
      <w:r>
        <w:rPr>
          <w:rStyle w:val="C3"/>
          <w:rFonts w:ascii="Courier New" w:hAnsi="Courier New"/>
          <w:b w:val="0"/>
          <w:color w:val="auto"/>
        </w:rPr>
        <w:t>Entender en la evaluación y coordinación de planes, programas y proyectos, de urbanización y vivienda, con otras reparticiones municipales, provinciales, nacionales e instituciones privadas, para su compatibilización y desarrollo coherente en el marco del ordenamiento general de la ciudad.</w:t>
      </w:r>
    </w:p>
    <w:p>
      <w:pPr>
        <w:pStyle w:val="P2"/>
        <w:numPr>
          <w:ilvl w:val="0"/>
          <w:numId w:val="6"/>
        </w:numPr>
        <w:tabs>
          <w:tab w:val="left" w:pos="1134" w:leader="none"/>
          <w:tab w:val="clear" w:pos="1429" w:leader="none"/>
        </w:tabs>
        <w:ind w:firstLine="0" w:left="709"/>
        <w:rPr>
          <w:rStyle w:val="C3"/>
          <w:rFonts w:ascii="Courier New" w:hAnsi="Courier New"/>
          <w:b w:val="1"/>
          <w:color w:val="auto"/>
        </w:rPr>
      </w:pPr>
      <w:r>
        <w:rPr>
          <w:rStyle w:val="C3"/>
          <w:rFonts w:ascii="Courier New" w:hAnsi="Courier New"/>
          <w:b w:val="0"/>
          <w:color w:val="auto"/>
        </w:rPr>
        <w:t>Promover y gestionar la integración equilibrada de las acciones y emprendimientos de los sectores públicos y privados en los programas de urbanización y vivienda.</w:t>
      </w:r>
    </w:p>
    <w:p>
      <w:pPr>
        <w:pStyle w:val="P2"/>
        <w:numPr>
          <w:ilvl w:val="0"/>
          <w:numId w:val="6"/>
        </w:numPr>
        <w:tabs>
          <w:tab w:val="left" w:pos="1134" w:leader="none"/>
          <w:tab w:val="clear" w:pos="1429" w:leader="none"/>
        </w:tabs>
        <w:ind w:firstLine="0" w:left="709"/>
        <w:rPr>
          <w:rStyle w:val="C3"/>
          <w:rFonts w:ascii="Courier New" w:hAnsi="Courier New"/>
          <w:b w:val="1"/>
          <w:color w:val="auto"/>
        </w:rPr>
      </w:pPr>
      <w:r>
        <w:rPr>
          <w:rStyle w:val="C3"/>
          <w:rFonts w:ascii="Courier New" w:hAnsi="Courier New"/>
          <w:b w:val="0"/>
          <w:color w:val="auto"/>
        </w:rPr>
        <w:t>Elaborar e instrumentar el Registro Único y Permanente de Demanda de Vivienda de la Ciudad de Alta Gracia como única Base de Datos, para encarar el desarrollo de los programas específicos.</w:t>
      </w:r>
    </w:p>
    <w:p>
      <w:pPr>
        <w:pStyle w:val="P2"/>
        <w:numPr>
          <w:ilvl w:val="0"/>
          <w:numId w:val="6"/>
        </w:numPr>
        <w:tabs>
          <w:tab w:val="left" w:pos="1134" w:leader="none"/>
          <w:tab w:val="clear" w:pos="1429" w:leader="none"/>
        </w:tabs>
        <w:ind w:firstLine="0" w:left="709"/>
        <w:rPr>
          <w:rStyle w:val="C3"/>
          <w:rFonts w:ascii="Courier New" w:hAnsi="Courier New"/>
          <w:b w:val="1"/>
          <w:color w:val="auto"/>
        </w:rPr>
      </w:pPr>
      <w:r>
        <w:rPr>
          <w:rStyle w:val="C3"/>
          <w:rFonts w:ascii="Courier New" w:hAnsi="Courier New"/>
          <w:b w:val="0"/>
          <w:color w:val="auto"/>
        </w:rPr>
        <w:t>Asesorar en la interpretación y aplicación de las normas, reglamentos y procedimientos presentes y futuros.</w:t>
      </w:r>
    </w:p>
    <w:p>
      <w:pPr>
        <w:pStyle w:val="P2"/>
        <w:numPr>
          <w:ilvl w:val="0"/>
          <w:numId w:val="6"/>
        </w:numPr>
        <w:tabs>
          <w:tab w:val="left" w:pos="1134" w:leader="none"/>
          <w:tab w:val="clear" w:pos="1429" w:leader="none"/>
        </w:tabs>
        <w:ind w:firstLine="0" w:left="709"/>
        <w:rPr>
          <w:rStyle w:val="C3"/>
          <w:rFonts w:ascii="Courier New" w:hAnsi="Courier New"/>
          <w:b w:val="1"/>
          <w:color w:val="auto"/>
        </w:rPr>
      </w:pPr>
      <w:r>
        <w:rPr>
          <w:rStyle w:val="C3"/>
          <w:rFonts w:ascii="Courier New" w:hAnsi="Courier New"/>
          <w:b w:val="0"/>
          <w:color w:val="auto"/>
        </w:rPr>
        <w:t>Promover y desarrollar el campo de estudio e investigación referidas a los temas de urbanización y vivienda.</w:t>
      </w:r>
    </w:p>
    <w:p>
      <w:pPr>
        <w:pStyle w:val="P4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4"/>
        <w:jc w:val="both"/>
        <w:rPr>
          <w:rStyle w:val="C3"/>
          <w:sz w:val="24"/>
        </w:rPr>
      </w:pPr>
    </w:p>
    <w:p>
      <w:pPr>
        <w:pStyle w:val="P4"/>
        <w:jc w:val="both"/>
        <w:rPr>
          <w:rStyle w:val="C3"/>
          <w:sz w:val="24"/>
        </w:rPr>
      </w:pPr>
    </w:p>
    <w:p>
      <w:pPr>
        <w:pStyle w:val="P4"/>
        <w:jc w:val="both"/>
        <w:rPr>
          <w:rStyle w:val="C3"/>
          <w:sz w:val="24"/>
        </w:rPr>
      </w:pPr>
    </w:p>
    <w:p>
      <w:pPr>
        <w:pStyle w:val="P4"/>
        <w:jc w:val="both"/>
        <w:rPr>
          <w:rStyle w:val="C3"/>
          <w:sz w:val="24"/>
        </w:rPr>
      </w:pPr>
    </w:p>
    <w:p>
      <w:pPr>
        <w:pStyle w:val="P4"/>
        <w:jc w:val="both"/>
        <w:rPr>
          <w:rStyle w:val="C3"/>
          <w:sz w:val="24"/>
        </w:rPr>
      </w:pPr>
    </w:p>
    <w:p>
      <w:pPr>
        <w:pStyle w:val="P4"/>
        <w:jc w:val="both"/>
        <w:rPr>
          <w:rStyle w:val="C3"/>
          <w:sz w:val="24"/>
        </w:rPr>
      </w:pPr>
    </w:p>
    <w:p>
      <w:pPr>
        <w:pStyle w:val="P4"/>
        <w:jc w:val="both"/>
        <w:rPr>
          <w:rStyle w:val="C3"/>
          <w:sz w:val="24"/>
        </w:rPr>
      </w:pPr>
    </w:p>
    <w:p>
      <w:pPr>
        <w:pStyle w:val="P4"/>
        <w:jc w:val="both"/>
        <w:rPr>
          <w:rStyle w:val="C3"/>
          <w:sz w:val="24"/>
        </w:rPr>
      </w:pPr>
    </w:p>
    <w:p>
      <w:pPr>
        <w:pStyle w:val="P4"/>
        <w:jc w:val="both"/>
        <w:rPr>
          <w:rStyle w:val="C3"/>
          <w:sz w:val="24"/>
        </w:rPr>
      </w:pPr>
    </w:p>
    <w:p>
      <w:pPr>
        <w:pStyle w:val="P4"/>
        <w:jc w:val="both"/>
        <w:rPr>
          <w:rStyle w:val="C3"/>
          <w:sz w:val="24"/>
        </w:rPr>
      </w:pPr>
      <w:r>
        <w:rPr>
          <w:rStyle w:val="C3"/>
          <w:sz w:val="24"/>
        </w:rPr>
        <w:t>...///3.-</w:t>
      </w:r>
    </w:p>
    <w:p>
      <w:pPr>
        <w:pStyle w:val="P4"/>
        <w:jc w:val="both"/>
        <w:rPr>
          <w:rStyle w:val="C3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color w:val="auto"/>
        </w:rPr>
      </w:pPr>
      <w:r>
        <w:rPr>
          <w:rStyle w:val="C3"/>
          <w:rFonts w:ascii="Courier New" w:hAnsi="Courier New"/>
          <w:u w:val="single"/>
        </w:rPr>
        <w:t>Art.3</w:t>
      </w:r>
      <w:r>
        <w:rPr>
          <w:rStyle w:val="C3"/>
          <w:rFonts w:ascii="Courier New" w:hAnsi="Courier New"/>
        </w:rPr>
        <w:t>: MODIFÍCASE</w:t>
      </w:r>
      <w:r>
        <w:rPr>
          <w:rStyle w:val="C3"/>
          <w:rFonts w:ascii="Courier New" w:hAnsi="Courier New"/>
          <w:b w:val="0"/>
        </w:rPr>
        <w:t xml:space="preserve"> el Art. 12 de la Ordenanza Nº 6847, donde dice “....Dependientes de la </w:t>
      </w:r>
      <w:r>
        <w:rPr>
          <w:rStyle w:val="C3"/>
          <w:rFonts w:ascii="Courier New" w:hAnsi="Courier New"/>
          <w:b w:val="0"/>
          <w:color w:val="auto"/>
        </w:rPr>
        <w:t>Secretaría de Obras y Servicios Públicos:</w:t>
      </w:r>
    </w:p>
    <w:p>
      <w:pPr>
        <w:numPr>
          <w:ilvl w:val="0"/>
          <w:numId w:val="4"/>
        </w:numPr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 xml:space="preserve">Dirección de Servicios Públicos...”, </w:t>
      </w: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 xml:space="preserve">debe decir: “.... Dependientes de la Secretaría </w:t>
      </w:r>
      <w:r>
        <w:rPr>
          <w:rStyle w:val="C3"/>
          <w:rFonts w:ascii="Courier New" w:hAnsi="Courier New"/>
          <w:b w:val="0"/>
          <w:color w:val="auto"/>
        </w:rPr>
        <w:t>de Obras y Servicios Públicos:</w:t>
      </w:r>
    </w:p>
    <w:p>
      <w:pPr>
        <w:pStyle w:val="P4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- Dirección de Servicios Públicos</w:t>
      </w:r>
    </w:p>
    <w:p>
      <w:pPr>
        <w:pStyle w:val="P2"/>
        <w:ind w:left="709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- Dirección de Vivienda”.</w:t>
      </w:r>
    </w:p>
    <w:p>
      <w:pPr>
        <w:pStyle w:val="P4"/>
        <w:jc w:val="both"/>
        <w:rPr>
          <w:rStyle w:val="C3"/>
          <w:sz w:val="24"/>
        </w:rPr>
      </w:pPr>
    </w:p>
    <w:p>
      <w:pPr>
        <w:pStyle w:val="P4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Art.4</w:t>
      </w:r>
      <w:r>
        <w:rPr>
          <w:rStyle w:val="C3"/>
          <w:b w:val="1"/>
          <w:sz w:val="24"/>
        </w:rPr>
        <w:t>: LA</w:t>
      </w:r>
      <w:r>
        <w:rPr>
          <w:rStyle w:val="C3"/>
          <w:sz w:val="24"/>
        </w:rPr>
        <w:t xml:space="preserve"> presente ordenanza entrará en vigencia en la fecha que se dicte su decreto promulgatorio, en un todo de conformidad a lo establecido en el artículo 24 de la Carta Orgánica Municipal.</w:t>
      </w:r>
    </w:p>
    <w:p>
      <w:pPr>
        <w:pStyle w:val="P4"/>
        <w:jc w:val="both"/>
        <w:rPr>
          <w:rStyle w:val="C3"/>
          <w:sz w:val="24"/>
        </w:rPr>
      </w:pPr>
    </w:p>
    <w:p>
      <w:pPr>
        <w:pStyle w:val="P4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Art.5</w:t>
      </w:r>
      <w:r>
        <w:rPr>
          <w:rStyle w:val="C3"/>
          <w:sz w:val="24"/>
        </w:rPr>
        <w:t>:</w:t>
      </w:r>
      <w:r>
        <w:rPr>
          <w:rStyle w:val="C3"/>
          <w:b w:val="1"/>
          <w:sz w:val="24"/>
        </w:rPr>
        <w:t xml:space="preserve"> PROTOCOLÍCESE</w:t>
      </w:r>
      <w:r>
        <w:rPr>
          <w:rStyle w:val="C3"/>
          <w:sz w:val="24"/>
        </w:rPr>
        <w:t>, comuníquese, publíquese en el Boletín Oficial de la Ciudad de Alta Gracia,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</w:rPr>
      </w:pPr>
    </w:p>
    <w:p>
      <w:pPr>
        <w:ind w:hanging="709" w:left="709"/>
        <w:jc w:val="both"/>
        <w:rPr>
          <w:rStyle w:val="C3"/>
          <w:rFonts w:ascii="Courier New" w:hAnsi="Courier New"/>
        </w:rPr>
      </w:pPr>
    </w:p>
    <w:p>
      <w:pPr>
        <w:pStyle w:val="P4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DADA EN LA SALA DE SESIONES DEL HONORABLE CONCEJO DELIBERANTE A LOS SEIS DÍAS DEL MES DE ABRIL DEL AÑO DOS MIL SEIS.</w:t>
      </w:r>
    </w:p>
    <w:sectPr>
      <w:type w:val="nextPage"/>
      <w:pgSz w:w="11906" w:h="16838" w:code="0"/>
      <w:pgMar w:left="1701" w:right="1418" w:top="1985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10371C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9"/>
        <w:tabs>
          <w:tab w:val="left" w:pos="1429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9"/>
        <w:tabs>
          <w:tab w:val="left" w:pos="2149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9"/>
        <w:tabs>
          <w:tab w:val="left" w:pos="2869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9"/>
        <w:tabs>
          <w:tab w:val="left" w:pos="3589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9"/>
        <w:tabs>
          <w:tab w:val="left" w:pos="4309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9"/>
        <w:tabs>
          <w:tab w:val="left" w:pos="5029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9"/>
        <w:tabs>
          <w:tab w:val="left" w:pos="5749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9"/>
        <w:tabs>
          <w:tab w:val="left" w:pos="6469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9"/>
        <w:tabs>
          <w:tab w:val="left" w:pos="7189" w:leader="none"/>
        </w:tabs>
      </w:pPr>
      <w:rPr/>
    </w:lvl>
  </w:abstractNum>
  <w:abstractNum w:abstractNumId="1">
    <w:nsid w:val="02DD070D"/>
    <w:multiLevelType w:val="hybridMultilevel"/>
    <w:lvl w:ilvl="0" w:tplc="3C5CF47D">
      <w:start w:val="4"/>
      <w:numFmt w:val="bullet"/>
      <w:suff w:val="tab"/>
      <w:lvlText w:val="-"/>
      <w:lvlJc w:val="left"/>
      <w:pPr>
        <w:ind w:hanging="360" w:left="1230"/>
        <w:tabs>
          <w:tab w:val="left" w:pos="1230" w:leader="none"/>
        </w:tabs>
      </w:pPr>
      <w:rPr>
        <w:rFonts w:ascii="Times New Roman" w:hAnsi="Times New Roman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5AA36039"/>
    <w:multiLevelType w:val="hybridMultilevel"/>
    <w:lvl w:ilvl="0" w:tplc="144DB0C5">
      <w:start w:val="19"/>
      <w:numFmt w:val="bullet"/>
      <w:suff w:val="tab"/>
      <w:lvlText w:val="-"/>
      <w:lvlJc w:val="left"/>
      <w:pPr>
        <w:ind w:hanging="360" w:left="1069"/>
        <w:tabs>
          <w:tab w:val="left" w:pos="1069" w:leader="none"/>
        </w:tabs>
      </w:pPr>
      <w:rPr>
        <w:rFonts w:ascii="Times New Roman" w:hAnsi="Times New Roman"/>
      </w:rPr>
    </w:lvl>
    <w:lvl w:ilvl="1" w:tplc="13C68A4A">
      <w:start w:val="1"/>
      <w:numFmt w:val="bullet"/>
      <w:suff w:val="tab"/>
      <w:lvlText w:val="o"/>
      <w:lvlJc w:val="left"/>
      <w:pPr>
        <w:ind w:hanging="360" w:left="1789"/>
        <w:tabs>
          <w:tab w:val="left" w:pos="1789" w:leader="none"/>
        </w:tabs>
      </w:pPr>
      <w:rPr>
        <w:rFonts w:ascii="Courier New" w:hAnsi="Courier New"/>
      </w:rPr>
    </w:lvl>
    <w:lvl w:ilvl="2" w:tplc="0D575860">
      <w:start w:val="1"/>
      <w:numFmt w:val="bullet"/>
      <w:suff w:val="tab"/>
      <w:lvlText w:val=""/>
      <w:lvlJc w:val="left"/>
      <w:pPr>
        <w:ind w:hanging="360" w:left="2509"/>
        <w:tabs>
          <w:tab w:val="left" w:pos="2509" w:leader="none"/>
        </w:tabs>
      </w:pPr>
      <w:rPr>
        <w:rFonts w:ascii="Wingdings" w:hAnsi="Wingdings"/>
      </w:rPr>
    </w:lvl>
    <w:lvl w:ilvl="3" w:tplc="05BA2C55">
      <w:start w:val="1"/>
      <w:numFmt w:val="bullet"/>
      <w:suff w:val="tab"/>
      <w:lvlText w:val=""/>
      <w:lvlJc w:val="left"/>
      <w:pPr>
        <w:ind w:hanging="360" w:left="3229"/>
        <w:tabs>
          <w:tab w:val="left" w:pos="3229" w:leader="none"/>
        </w:tabs>
      </w:pPr>
      <w:rPr>
        <w:rFonts w:ascii="Symbol" w:hAnsi="Symbol"/>
      </w:rPr>
    </w:lvl>
    <w:lvl w:ilvl="4" w:tplc="1F3E1FAC">
      <w:start w:val="1"/>
      <w:numFmt w:val="bullet"/>
      <w:suff w:val="tab"/>
      <w:lvlText w:val="o"/>
      <w:lvlJc w:val="left"/>
      <w:pPr>
        <w:ind w:hanging="360" w:left="3949"/>
        <w:tabs>
          <w:tab w:val="left" w:pos="3949" w:leader="none"/>
        </w:tabs>
      </w:pPr>
      <w:rPr>
        <w:rFonts w:ascii="Courier New" w:hAnsi="Courier New"/>
      </w:rPr>
    </w:lvl>
    <w:lvl w:ilvl="5" w:tplc="2F48FB3B">
      <w:start w:val="1"/>
      <w:numFmt w:val="bullet"/>
      <w:suff w:val="tab"/>
      <w:lvlText w:val=""/>
      <w:lvlJc w:val="left"/>
      <w:pPr>
        <w:ind w:hanging="360" w:left="4669"/>
        <w:tabs>
          <w:tab w:val="left" w:pos="4669" w:leader="none"/>
        </w:tabs>
      </w:pPr>
      <w:rPr>
        <w:rFonts w:ascii="Wingdings" w:hAnsi="Wingdings"/>
      </w:rPr>
    </w:lvl>
    <w:lvl w:ilvl="6" w:tplc="1318515D">
      <w:start w:val="1"/>
      <w:numFmt w:val="bullet"/>
      <w:suff w:val="tab"/>
      <w:lvlText w:val=""/>
      <w:lvlJc w:val="left"/>
      <w:pPr>
        <w:ind w:hanging="360" w:left="5389"/>
        <w:tabs>
          <w:tab w:val="left" w:pos="5389" w:leader="none"/>
        </w:tabs>
      </w:pPr>
      <w:rPr>
        <w:rFonts w:ascii="Symbol" w:hAnsi="Symbol"/>
      </w:rPr>
    </w:lvl>
    <w:lvl w:ilvl="7" w:tplc="12CE9668">
      <w:start w:val="1"/>
      <w:numFmt w:val="bullet"/>
      <w:suff w:val="tab"/>
      <w:lvlText w:val="o"/>
      <w:lvlJc w:val="left"/>
      <w:pPr>
        <w:ind w:hanging="360" w:left="6109"/>
        <w:tabs>
          <w:tab w:val="left" w:pos="6109" w:leader="none"/>
        </w:tabs>
      </w:pPr>
      <w:rPr>
        <w:rFonts w:ascii="Courier New" w:hAnsi="Courier New"/>
      </w:rPr>
    </w:lvl>
    <w:lvl w:ilvl="8" w:tplc="7C987686">
      <w:start w:val="1"/>
      <w:numFmt w:val="bullet"/>
      <w:suff w:val="tab"/>
      <w:lvlText w:val=""/>
      <w:lvlJc w:val="left"/>
      <w:pPr>
        <w:ind w:hanging="360" w:left="6829"/>
        <w:tabs>
          <w:tab w:val="left" w:pos="6829" w:leader="none"/>
        </w:tabs>
      </w:pPr>
      <w:rPr>
        <w:rFonts w:ascii="Wingdings" w:hAnsi="Wingdings"/>
      </w:rPr>
    </w:lvl>
  </w:abstractNum>
  <w:abstractNum w:abstractNumId="3">
    <w:nsid w:val="5E8B500D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9"/>
        <w:tabs>
          <w:tab w:val="left" w:pos="1429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9"/>
        <w:tabs>
          <w:tab w:val="left" w:pos="2149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9"/>
        <w:tabs>
          <w:tab w:val="left" w:pos="2869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9"/>
        <w:tabs>
          <w:tab w:val="left" w:pos="3589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9"/>
        <w:tabs>
          <w:tab w:val="left" w:pos="4309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9"/>
        <w:tabs>
          <w:tab w:val="left" w:pos="5029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9"/>
        <w:tabs>
          <w:tab w:val="left" w:pos="5749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9"/>
        <w:tabs>
          <w:tab w:val="left" w:pos="6469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9"/>
        <w:tabs>
          <w:tab w:val="left" w:pos="7189" w:leader="none"/>
        </w:tabs>
      </w:pPr>
      <w:rPr/>
    </w:lvl>
  </w:abstractNum>
  <w:abstractNum w:abstractNumId="4">
    <w:nsid w:val="6BEA2CA3"/>
    <w:multiLevelType w:val="multilevel"/>
    <w:lvl w:ilvl="0">
      <w:start w:val="1"/>
      <w:numFmt w:val="lowerLetter"/>
      <w:suff w:val="tab"/>
      <w:lvlText w:val="%1)"/>
      <w:lvlJc w:val="left"/>
      <w:pPr>
        <w:ind w:hanging="435" w:left="1155"/>
        <w:tabs>
          <w:tab w:val="left" w:pos="115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">
    <w:nsid w:val="716C0110"/>
    <w:multiLevelType w:val="multilevel"/>
    <w:lvl w:ilvl="0">
      <w:start w:val="1"/>
      <w:numFmt w:val="decimal"/>
      <w:suff w:val="tab"/>
      <w:lvlText w:val="%1)"/>
      <w:lvlJc w:val="left"/>
      <w:pPr>
        <w:ind w:hanging="600" w:left="600"/>
        <w:tabs>
          <w:tab w:val="left" w:pos="60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b w:val="1"/>
      <w:color w:val="000000"/>
      <w:sz w:val="24"/>
    </w:rPr>
  </w:style>
  <w:style w:type="paragraph" w:styleId="P1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color w:val="auto"/>
    </w:rPr>
  </w:style>
  <w:style w:type="paragraph" w:styleId="P2">
    <w:name w:val="Texto independiente"/>
    <w:basedOn w:val="P0"/>
    <w:next w:val="P2"/>
    <w:pPr>
      <w:jc w:val="both"/>
    </w:pPr>
    <w:rPr/>
  </w:style>
  <w:style w:type="paragraph" w:styleId="P3">
    <w:name w:val="Texto independiente 2"/>
    <w:basedOn w:val="P0"/>
    <w:next w:val="P3"/>
    <w:pPr>
      <w:jc w:val="both"/>
    </w:pPr>
    <w:rPr>
      <w:sz w:val="28"/>
    </w:rPr>
  </w:style>
  <w:style w:type="paragraph" w:styleId="P4">
    <w:name w:val="Texto sin formato"/>
    <w:basedOn w:val="P0"/>
    <w:next w:val="P4"/>
    <w:pPr/>
    <w:rPr>
      <w:rFonts w:ascii="Courier New" w:hAnsi="Courier New"/>
      <w:b w:val="0"/>
      <w:color w:val="auto"/>
      <w:sz w:val="20"/>
    </w:rPr>
  </w:style>
  <w:style w:type="paragraph" w:styleId="P5">
    <w:name w:val="Sangría de t. independiente"/>
    <w:basedOn w:val="P0"/>
    <w:next w:val="P5"/>
    <w:pPr>
      <w:ind w:left="720"/>
      <w:jc w:val="both"/>
    </w:pPr>
    <w:rPr>
      <w:rFonts w:ascii="Courier New" w:hAnsi="Courier New"/>
      <w:b w:val="0"/>
      <w:color w:val="auto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rFonts w:ascii="Courier New" w:hAnsi="Courier New"/>
      <w:b w:val="0"/>
      <w:color w:val="auto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oficialia</dc:creator>
  <dcterms:created xsi:type="dcterms:W3CDTF">2006-04-17T13:22:00Z</dcterms:created>
  <cp:lastModifiedBy>Ethan Puglia</cp:lastModifiedBy>
  <cp:lastPrinted>2006-04-06T01:08:00Z</cp:lastPrinted>
  <dcterms:modified xsi:type="dcterms:W3CDTF">2019-03-28T17:33:01Z</dcterms:modified>
  <cp:revision>23</cp:revision>
  <dc:title>VISTO: el Proyecto de Ordenanza presentado por el Departamento Ejecutivo, modificatorio de la Ordenanza Nº 6847; y</dc:title>
</cp:coreProperties>
</file>