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4799" w:rsidRPr="00A90EE6" w:rsidRDefault="00E6493E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9702</w:t>
      </w: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Visto:</w:t>
      </w:r>
      <w:r w:rsidR="00450E0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E6493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1699</w:t>
      </w:r>
      <w:r w:rsidR="001F6B6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/12 iniciado por el Sr. </w:t>
      </w:r>
      <w:r w:rsidR="00BE190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González</w:t>
      </w:r>
      <w:r w:rsidR="00E6493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Escribano Juan J.; 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y</w:t>
      </w:r>
    </w:p>
    <w:p w:rsidR="003B4799" w:rsidRPr="00A90EE6" w:rsidRDefault="003B4799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3B4799" w:rsidRPr="00A90EE6" w:rsidRDefault="003B4799" w:rsidP="003B4799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3B4799" w:rsidRDefault="003B4799" w:rsidP="00E6493E">
      <w:pPr>
        <w:spacing w:after="100" w:afterAutospacing="1" w:line="240" w:lineRule="auto"/>
        <w:ind w:left="680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3B4799">
        <w:rPr>
          <w:rFonts w:ascii="Courier New" w:eastAsia="Calibri" w:hAnsi="Courier New" w:cs="Courier New"/>
          <w:sz w:val="24"/>
          <w:szCs w:val="24"/>
          <w:lang w:val="es-ES_tradnl"/>
        </w:rPr>
        <w:t xml:space="preserve">Que </w:t>
      </w:r>
      <w:r w:rsidR="00E6493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solicita la Exención de la Tasa de Construcción de acuerdo a la Ordenanza Nº 3873 Art. 158º inciso 2;</w:t>
      </w: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Que evaluado lo solicitado por comisión de hacienda se emite despacho favorable, aprobándose por </w:t>
      </w:r>
      <w:r w:rsidR="00450E0D">
        <w:rPr>
          <w:rFonts w:ascii="Courier New" w:eastAsia="Times New Roman" w:hAnsi="Courier New" w:cs="Times New Roman"/>
          <w:sz w:val="24"/>
          <w:szCs w:val="20"/>
          <w:lang w:eastAsia="es-AR"/>
        </w:rPr>
        <w:t>unanimidad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en Sesión  Ordinaria del día</w:t>
      </w:r>
      <w:r w:rsidR="00450E0D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16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abril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3B4799" w:rsidRDefault="003B4799" w:rsidP="00C80835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="00E6493E" w:rsidRPr="00E6493E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E6493E" w:rsidRPr="00E6493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EN</w:t>
      </w:r>
      <w:r w:rsidR="00E6493E" w:rsidRPr="00E6493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E6493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función de la Ordenanza Nº 7117, Articulo 11, INC. 2, punto II “Régimen de Promoci</w:t>
      </w:r>
      <w:r w:rsidR="00BE190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ón y Desarrollo Turístico”</w:t>
      </w:r>
      <w:r w:rsidR="00E6493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se otorga la exención en el pago de los Derechos de Construcción y Oficina del 100%.</w:t>
      </w:r>
    </w:p>
    <w:p w:rsidR="003B4799" w:rsidRPr="00846EDC" w:rsidRDefault="003B4799" w:rsidP="003B4799">
      <w:pPr>
        <w:spacing w:after="0" w:line="24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val="es-ES_tradnl" w:eastAsia="es-AR"/>
        </w:rPr>
      </w:pPr>
    </w:p>
    <w:p w:rsidR="003B4799" w:rsidRPr="00A90EE6" w:rsidRDefault="00846EDC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Art.2</w:t>
      </w:r>
      <w:r w:rsidR="003B4799"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: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="003B4799" w:rsidRPr="00A90EE6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="003B4799" w:rsidRPr="00A90EE6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:rsidR="003B4799" w:rsidRPr="00A90EE6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</w:t>
      </w:r>
      <w:bookmarkStart w:id="0" w:name="_GoBack"/>
      <w:bookmarkEnd w:id="0"/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HONORABLE CONCEJO DELIBERANTE A LOS </w:t>
      </w:r>
      <w:r w:rsidR="00846ED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DIECISEIS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ABRIL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 w:rsidR="00846ED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011A16" w:rsidRDefault="00011A16"/>
    <w:sectPr w:rsidR="00011A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799"/>
    <w:rsid w:val="00011A16"/>
    <w:rsid w:val="001E70C5"/>
    <w:rsid w:val="001F6B6B"/>
    <w:rsid w:val="003B4799"/>
    <w:rsid w:val="00402E33"/>
    <w:rsid w:val="00450E0D"/>
    <w:rsid w:val="006D0A85"/>
    <w:rsid w:val="00846EDC"/>
    <w:rsid w:val="00B810B6"/>
    <w:rsid w:val="00BE1906"/>
    <w:rsid w:val="00C80835"/>
    <w:rsid w:val="00D07F9D"/>
    <w:rsid w:val="00E64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149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6</cp:revision>
  <cp:lastPrinted>2014-04-16T16:05:00Z</cp:lastPrinted>
  <dcterms:created xsi:type="dcterms:W3CDTF">2014-04-16T16:04:00Z</dcterms:created>
  <dcterms:modified xsi:type="dcterms:W3CDTF">2014-04-21T13:05:00Z</dcterms:modified>
</cp:coreProperties>
</file>