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3A1CAE36" w14:textId="5AE2D38F" w:rsidR="00722F6F" w:rsidRDefault="00667965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201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1448</w:t>
      </w:r>
    </w:p>
    <w:p w14:paraId="00C8A5B2" w14:textId="77777777" w:rsidR="008A0BAD" w:rsidRDefault="008A0BAD" w:rsidP="00722F6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E4F4B75" w14:textId="0B93939C" w:rsidR="00E677EB" w:rsidRPr="00E677EB" w:rsidRDefault="00391944" w:rsidP="00D71F1B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D71F1B">
        <w:rPr>
          <w:rFonts w:ascii="Courier New" w:hAnsi="Courier New" w:cs="Courier New"/>
          <w:sz w:val="24"/>
          <w:szCs w:val="24"/>
          <w:lang w:val="es-ES_tradnl"/>
        </w:rPr>
        <w:t xml:space="preserve">El expediente Nº226/14 - iniciado por </w:t>
      </w:r>
      <w:proofErr w:type="spellStart"/>
      <w:r w:rsidR="00D71F1B">
        <w:rPr>
          <w:rFonts w:ascii="Courier New" w:hAnsi="Courier New" w:cs="Courier New"/>
          <w:sz w:val="24"/>
          <w:szCs w:val="24"/>
          <w:lang w:val="es-ES_tradnl"/>
        </w:rPr>
        <w:t>Saieg</w:t>
      </w:r>
      <w:proofErr w:type="spellEnd"/>
      <w:r w:rsidR="00D71F1B">
        <w:rPr>
          <w:rFonts w:ascii="Courier New" w:hAnsi="Courier New" w:cs="Courier New"/>
          <w:sz w:val="24"/>
          <w:szCs w:val="24"/>
          <w:lang w:val="es-ES_tradnl"/>
        </w:rPr>
        <w:t xml:space="preserve"> Reina María Catherine, solicitando eximición de tasa por servicio a la propiedad inventariada; y  </w:t>
      </w:r>
    </w:p>
    <w:p w14:paraId="68CC6B5C" w14:textId="6078F18B" w:rsidR="00595BB6" w:rsidRDefault="002B2C74" w:rsidP="00D71F1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D71F1B">
      <w:pPr>
        <w:pStyle w:val="Prrafodelista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5FFF4675" w14:textId="45A846CA" w:rsidR="00D71F1B" w:rsidRPr="00D71F1B" w:rsidRDefault="009C3C2F" w:rsidP="00D71F1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71F1B">
        <w:rPr>
          <w:rFonts w:ascii="Courier New" w:eastAsia="Arial Unicode MS" w:hAnsi="Courier New" w:cs="Courier New"/>
          <w:b w:val="0"/>
        </w:rPr>
        <w:t xml:space="preserve">Que </w:t>
      </w:r>
      <w:r w:rsidR="00D71F1B" w:rsidRPr="00D71F1B">
        <w:rPr>
          <w:rFonts w:ascii="Courier New" w:eastAsia="Arial Unicode MS" w:hAnsi="Courier New" w:cs="Courier New"/>
          <w:b w:val="0"/>
        </w:rPr>
        <w:t xml:space="preserve"> a fs.14 solicita eximición de la deuda de tasa  por Servicio a la Propiedad Cuenta Municipal Nº 00028309;</w:t>
      </w:r>
    </w:p>
    <w:p w14:paraId="5F3ECDF2" w14:textId="77777777" w:rsidR="00D71F1B" w:rsidRPr="00D71F1B" w:rsidRDefault="00D71F1B" w:rsidP="00D71F1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76F95C8" w14:textId="77777777" w:rsidR="00D71F1B" w:rsidRPr="00D71F1B" w:rsidRDefault="00D71F1B" w:rsidP="00D71F1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D71F1B">
        <w:rPr>
          <w:rFonts w:ascii="Courier New" w:eastAsia="Arial Unicode MS" w:hAnsi="Courier New" w:cs="Courier New"/>
          <w:b w:val="0"/>
        </w:rPr>
        <w:t>Que en fs. 16 el Área de Patrimonio informa  que la vivienda esta inventariada con ficha Nº 47 del 2º orden encontrándose en buen estado y sugiere otorgar la renovación anual de eximición solicitada;</w:t>
      </w:r>
    </w:p>
    <w:p w14:paraId="5ED1DD77" w14:textId="77777777" w:rsidR="00D71F1B" w:rsidRPr="00D71F1B" w:rsidRDefault="00D71F1B" w:rsidP="00D71F1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2A06D5" w14:textId="77777777" w:rsidR="00D71F1B" w:rsidRPr="00D71F1B" w:rsidRDefault="00D71F1B" w:rsidP="00D71F1B">
      <w:pPr>
        <w:pStyle w:val="Prrafodelista"/>
        <w:jc w:val="both"/>
        <w:rPr>
          <w:rFonts w:ascii="Courier New" w:hAnsi="Courier New" w:cs="Courier New"/>
          <w:b w:val="0"/>
        </w:rPr>
      </w:pPr>
      <w:r w:rsidRPr="00D71F1B">
        <w:rPr>
          <w:rFonts w:ascii="Courier New" w:eastAsia="Arial Unicode MS" w:hAnsi="Courier New" w:cs="Courier New"/>
          <w:b w:val="0"/>
        </w:rPr>
        <w:t>Que la Ordenanza Nº4368 art. 14 establece “</w:t>
      </w:r>
      <w:r w:rsidRPr="00D71F1B">
        <w:rPr>
          <w:rFonts w:ascii="Courier New" w:hAnsi="Courier New" w:cs="Courier New"/>
          <w:b w:val="0"/>
        </w:rPr>
        <w:t>TOMAR las medidas necesarias, a través de la vía reglamentaria, que tiendan al incentivo del propietario, del o de los bienes en cuestión, que colabore al logro de los fines de la presente Ordenanza y que estuviere dentro de las posibilidades económicas y facultades jurídico legales del gobierno municipal.”</w:t>
      </w:r>
    </w:p>
    <w:p w14:paraId="4B54E2BC" w14:textId="77777777" w:rsidR="00D71F1B" w:rsidRPr="00D71F1B" w:rsidRDefault="00D71F1B" w:rsidP="00D71F1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86B7A6B" w14:textId="77777777" w:rsidR="00D71F1B" w:rsidRDefault="00D71F1B" w:rsidP="00D71F1B">
      <w:pPr>
        <w:pStyle w:val="Prrafodelista"/>
        <w:jc w:val="both"/>
        <w:rPr>
          <w:rFonts w:ascii="Courier New" w:hAnsi="Courier New" w:cs="Courier New"/>
          <w:b w:val="0"/>
        </w:rPr>
      </w:pPr>
      <w:r w:rsidRPr="00D71F1B">
        <w:rPr>
          <w:rFonts w:ascii="Courier New" w:hAnsi="Courier New" w:cs="Courier New"/>
          <w:b w:val="0"/>
        </w:rPr>
        <w:t xml:space="preserve"> Que la Ordenanza Municipal Nº 4518 Art. 261 Inc. 3 establece “INCENTÍVESE la puesta en valor de Propiedades Patrimoniales y establézcase una quita en la tasa de Servicio a la Propiedad de acuerdo a las siguientes condiciones 1) Una </w:t>
      </w:r>
      <w:r w:rsidRPr="00D71F1B">
        <w:rPr>
          <w:rFonts w:ascii="Courier New" w:hAnsi="Courier New" w:cs="Courier New"/>
          <w:b w:val="0"/>
        </w:rPr>
        <w:t>eximición</w:t>
      </w:r>
      <w:r w:rsidRPr="00D71F1B">
        <w:rPr>
          <w:rFonts w:ascii="Courier New" w:hAnsi="Courier New" w:cs="Courier New"/>
          <w:b w:val="0"/>
        </w:rPr>
        <w:t xml:space="preserve"> del 100% para a</w:t>
      </w:r>
      <w:r>
        <w:rPr>
          <w:rFonts w:ascii="Courier New" w:hAnsi="Courier New" w:cs="Courier New"/>
          <w:b w:val="0"/>
        </w:rPr>
        <w:t>quella</w:t>
      </w:r>
      <w:r w:rsidRPr="00D71F1B">
        <w:rPr>
          <w:rFonts w:ascii="Courier New" w:hAnsi="Courier New" w:cs="Courier New"/>
          <w:b w:val="0"/>
        </w:rPr>
        <w:t>s propiedades identificadas, inventariadas y/o Declaradas que no alteren las características originales exte</w:t>
      </w:r>
      <w:r>
        <w:rPr>
          <w:rFonts w:ascii="Courier New" w:hAnsi="Courier New" w:cs="Courier New"/>
          <w:b w:val="0"/>
        </w:rPr>
        <w:t>rn</w:t>
      </w:r>
      <w:r w:rsidRPr="00D71F1B">
        <w:rPr>
          <w:rFonts w:ascii="Courier New" w:hAnsi="Courier New" w:cs="Courier New"/>
          <w:b w:val="0"/>
        </w:rPr>
        <w:t>as e internas en su totalidad y que solo ejecuten trabajos de restitución y/o rest</w:t>
      </w:r>
      <w:r>
        <w:rPr>
          <w:rFonts w:ascii="Courier New" w:hAnsi="Courier New" w:cs="Courier New"/>
          <w:b w:val="0"/>
        </w:rPr>
        <w:t>auración de acuerdo al inventario</w:t>
      </w:r>
      <w:r w:rsidRPr="00D71F1B">
        <w:rPr>
          <w:rFonts w:ascii="Courier New" w:hAnsi="Courier New" w:cs="Courier New"/>
          <w:b w:val="0"/>
        </w:rPr>
        <w:t>, con las presentaciones y aprobaciones correspondientes, y que, con el asesoramiento de especialistas en preservación de patrimonio, recuperen una o más estancias del edificio,</w:t>
      </w:r>
    </w:p>
    <w:p w14:paraId="249AD79C" w14:textId="77777777" w:rsidR="00D71F1B" w:rsidRDefault="00D71F1B" w:rsidP="00D71F1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34E3CDC" w14:textId="77777777" w:rsidR="00D71F1B" w:rsidRDefault="00D71F1B" w:rsidP="00D71F1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B819ECF" w14:textId="77777777" w:rsidR="00D71F1B" w:rsidRDefault="00D71F1B" w:rsidP="00D71F1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B692C72" w14:textId="778B5EB4" w:rsidR="00D71F1B" w:rsidRDefault="00D71F1B" w:rsidP="00D71F1B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6A10E129" w14:textId="109666FB" w:rsidR="00D71F1B" w:rsidRPr="00D71F1B" w:rsidRDefault="00D71F1B" w:rsidP="00D71F1B">
      <w:pPr>
        <w:pStyle w:val="Prrafodelista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lastRenderedPageBreak/>
        <w:t>...///2.-</w:t>
      </w:r>
    </w:p>
    <w:p w14:paraId="0EF0CBBF" w14:textId="5B6DBCBB" w:rsidR="003F7690" w:rsidRDefault="00D71F1B" w:rsidP="00D71F1B">
      <w:pPr>
        <w:pStyle w:val="Prrafodelista"/>
        <w:jc w:val="both"/>
        <w:rPr>
          <w:rFonts w:ascii="Courier New" w:hAnsi="Courier New" w:cs="Courier New"/>
          <w:b w:val="0"/>
        </w:rPr>
      </w:pPr>
      <w:r w:rsidRPr="00D71F1B">
        <w:rPr>
          <w:rFonts w:ascii="Courier New" w:hAnsi="Courier New" w:cs="Courier New"/>
          <w:b w:val="0"/>
        </w:rPr>
        <w:t>ambientándolas a la época de realizac</w:t>
      </w:r>
      <w:r>
        <w:rPr>
          <w:rFonts w:ascii="Courier New" w:hAnsi="Courier New" w:cs="Courier New"/>
          <w:b w:val="0"/>
        </w:rPr>
        <w:t>ión del mismo, con mobiliario original, con el fin</w:t>
      </w:r>
      <w:r w:rsidRPr="00D71F1B">
        <w:rPr>
          <w:rFonts w:ascii="Courier New" w:hAnsi="Courier New" w:cs="Courier New"/>
          <w:b w:val="0"/>
        </w:rPr>
        <w:t xml:space="preserve"> de permitir el acceso al turista y/o visitantes 2) Una eximición del 70% para aquellas propiedades Identificadas, Inventariadas y/o Declarabas que no alteren las </w:t>
      </w:r>
      <w:r>
        <w:rPr>
          <w:rFonts w:ascii="Courier New" w:hAnsi="Courier New" w:cs="Courier New"/>
          <w:b w:val="0"/>
        </w:rPr>
        <w:t>características originales externas e inter</w:t>
      </w:r>
      <w:r w:rsidRPr="00D71F1B">
        <w:rPr>
          <w:rFonts w:ascii="Courier New" w:hAnsi="Courier New" w:cs="Courier New"/>
          <w:b w:val="0"/>
        </w:rPr>
        <w:t>nas</w:t>
      </w:r>
      <w:r w:rsidRPr="00D71F1B">
        <w:rPr>
          <w:rFonts w:ascii="Courier New" w:hAnsi="Courier New" w:cs="Courier New"/>
          <w:b w:val="0"/>
        </w:rPr>
        <w:t xml:space="preserve"> en su totalidad y que solo ejecuten trabajos de restitución y/o restauración, con las presentaciones y aprobaciones correspondientes y que sigan l</w:t>
      </w:r>
      <w:r>
        <w:rPr>
          <w:rFonts w:ascii="Courier New" w:hAnsi="Courier New" w:cs="Courier New"/>
          <w:b w:val="0"/>
        </w:rPr>
        <w:t xml:space="preserve">as recomendaciones del inventario </w:t>
      </w:r>
      <w:r w:rsidRPr="00D71F1B">
        <w:rPr>
          <w:rFonts w:ascii="Courier New" w:hAnsi="Courier New" w:cs="Courier New"/>
          <w:b w:val="0"/>
        </w:rPr>
        <w:t xml:space="preserve"> 3) Una eximición del 40% para aquellas propiedades Identificadas, Inventariadas y/o Declaradas, que ejecuten trabajos de restitución y acondicio</w:t>
      </w:r>
      <w:r>
        <w:rPr>
          <w:rFonts w:ascii="Courier New" w:hAnsi="Courier New" w:cs="Courier New"/>
          <w:b w:val="0"/>
        </w:rPr>
        <w:t xml:space="preserve">namiento, del exterior </w:t>
      </w:r>
      <w:r w:rsidRPr="00D71F1B">
        <w:rPr>
          <w:rFonts w:ascii="Courier New" w:hAnsi="Courier New" w:cs="Courier New"/>
          <w:b w:val="0"/>
        </w:rPr>
        <w:t xml:space="preserve"> de la vivienda (fachada y jardín), preserva</w:t>
      </w:r>
      <w:r>
        <w:rPr>
          <w:rFonts w:ascii="Courier New" w:hAnsi="Courier New" w:cs="Courier New"/>
          <w:b w:val="0"/>
        </w:rPr>
        <w:t xml:space="preserve">ndo las características originales </w:t>
      </w:r>
      <w:r w:rsidRPr="00D71F1B">
        <w:rPr>
          <w:rFonts w:ascii="Courier New" w:hAnsi="Courier New" w:cs="Courier New"/>
          <w:b w:val="0"/>
        </w:rPr>
        <w:t xml:space="preserve"> del mismo de acuerdo”</w:t>
      </w:r>
    </w:p>
    <w:p w14:paraId="1BEE3D75" w14:textId="77777777" w:rsidR="00D71F1B" w:rsidRPr="00D71F1B" w:rsidRDefault="00D71F1B" w:rsidP="00D71F1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75D75B7" w14:textId="49C9B788" w:rsidR="007241AB" w:rsidRPr="00D71F1B" w:rsidRDefault="007241AB" w:rsidP="00D71F1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71F1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D71F1B">
        <w:rPr>
          <w:rStyle w:val="apple-converted-space"/>
          <w:rFonts w:ascii="Courier New" w:hAnsi="Courier New" w:cs="Courier New"/>
          <w:b w:val="0"/>
        </w:rPr>
        <w:t xml:space="preserve"> </w:t>
      </w:r>
      <w:r w:rsidRPr="00D71F1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D71F1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D71F1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22</w:t>
      </w:r>
      <w:r w:rsidR="00265E7C" w:rsidRPr="00D71F1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Pr="00D71F1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 de</w:t>
      </w:r>
      <w:r w:rsidRPr="00D71F1B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D71F1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37D375D" w14:textId="77777777" w:rsidR="00F04B75" w:rsidRPr="00D71F1B" w:rsidRDefault="00F04B75" w:rsidP="00D71F1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7DA6238" w14:textId="77777777" w:rsidR="00F04B75" w:rsidRDefault="00F04B75" w:rsidP="00D71F1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D71F1B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D71F1B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D71F1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745896A5" w14:textId="64B205AC" w:rsidR="003F7690" w:rsidRDefault="00CC064C" w:rsidP="00D71F1B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265E7C">
        <w:rPr>
          <w:rFonts w:ascii="Courier New" w:hAnsi="Courier New" w:cs="Courier New"/>
          <w:b/>
        </w:rPr>
        <w:t xml:space="preserve">: </w:t>
      </w:r>
      <w:r w:rsidR="00265E7C" w:rsidRPr="00265E7C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71F1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71F1B" w:rsidRPr="00D71F1B">
        <w:rPr>
          <w:rFonts w:ascii="Courier New" w:eastAsia="Arial Unicode MS" w:hAnsi="Courier New" w:cs="Courier New"/>
          <w:sz w:val="24"/>
          <w:szCs w:val="24"/>
        </w:rPr>
        <w:t>al</w:t>
      </w:r>
      <w:r w:rsidR="00D71F1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71F1B">
        <w:rPr>
          <w:rFonts w:ascii="Courier New" w:eastAsia="Arial Unicode MS" w:hAnsi="Courier New" w:cs="Courier New"/>
          <w:sz w:val="24"/>
          <w:szCs w:val="24"/>
        </w:rPr>
        <w:t xml:space="preserve">titular de la cuenta el CUARENTA POR CIENTO (40%) el pago  de la deuda en concepto de tasa por servicios a la propiedad </w:t>
      </w:r>
      <w:r w:rsidR="00D71F1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71F1B" w:rsidRPr="00C7307E">
        <w:rPr>
          <w:rFonts w:ascii="Courier New" w:eastAsia="Arial Unicode MS" w:hAnsi="Courier New" w:cs="Courier New"/>
          <w:b/>
          <w:sz w:val="24"/>
          <w:szCs w:val="24"/>
        </w:rPr>
        <w:t>Cuenta Municipal Nº000</w:t>
      </w:r>
      <w:r w:rsidR="00D71F1B">
        <w:rPr>
          <w:rFonts w:ascii="Courier New" w:eastAsia="Arial Unicode MS" w:hAnsi="Courier New" w:cs="Courier New"/>
          <w:b/>
          <w:sz w:val="24"/>
          <w:szCs w:val="24"/>
        </w:rPr>
        <w:t xml:space="preserve">28309 </w:t>
      </w:r>
      <w:r w:rsidR="00D71F1B" w:rsidRPr="00C7307E">
        <w:rPr>
          <w:rFonts w:ascii="Courier New" w:eastAsia="Arial Unicode MS" w:hAnsi="Courier New" w:cs="Courier New"/>
          <w:sz w:val="24"/>
          <w:szCs w:val="24"/>
        </w:rPr>
        <w:t>hasta</w:t>
      </w:r>
      <w:r w:rsidR="00D71F1B" w:rsidRPr="00D71F1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71F1B" w:rsidRPr="00C7307E">
        <w:rPr>
          <w:rFonts w:ascii="Courier New" w:eastAsia="Arial Unicode MS" w:hAnsi="Courier New" w:cs="Courier New"/>
          <w:sz w:val="24"/>
          <w:szCs w:val="24"/>
        </w:rPr>
        <w:t>diciembre de 2020 inclusive</w:t>
      </w:r>
      <w:r w:rsidR="00D71F1B">
        <w:rPr>
          <w:rFonts w:ascii="Courier New" w:eastAsia="Arial Unicode MS" w:hAnsi="Courier New" w:cs="Courier New"/>
          <w:sz w:val="24"/>
          <w:szCs w:val="24"/>
        </w:rPr>
        <w:t>.-</w:t>
      </w:r>
    </w:p>
    <w:p w14:paraId="059830A8" w14:textId="77777777" w:rsidR="003F7690" w:rsidRDefault="003F7690" w:rsidP="00D71F1B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3BF715" w14:textId="246A5A47" w:rsidR="00E87B1E" w:rsidRDefault="003F7690" w:rsidP="00D71F1B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9DA931D" w14:textId="77777777" w:rsidR="00787718" w:rsidRDefault="00787718" w:rsidP="00D71F1B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67CD1A30" w14:textId="4DB8FD6A" w:rsidR="00181142" w:rsidRPr="00181142" w:rsidRDefault="00181142" w:rsidP="00D71F1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84F7A6C" w:rsidR="007740AE" w:rsidRDefault="007740AE" w:rsidP="00D71F1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D71F1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VEINTIDÓS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IO DEL AÑO DOS MIL </w:t>
      </w:r>
      <w:bookmarkStart w:id="0" w:name="_GoBack"/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D71F1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D71F1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bookmarkEnd w:id="0"/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2C8E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1F1B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41938-A68E-4198-8DEB-1831CB39D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483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2020-07-10T13:07:00Z</cp:lastPrinted>
  <dcterms:created xsi:type="dcterms:W3CDTF">2020-07-23T11:13:00Z</dcterms:created>
  <dcterms:modified xsi:type="dcterms:W3CDTF">2020-07-23T16:35:00Z</dcterms:modified>
</cp:coreProperties>
</file>