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7B07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1895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E473B" w:rsidRDefault="008C40E2" w:rsidP="00FE473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FE47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954/2021 iniciado por Renda Matilde Irene – Eximición Tasas a la Propiedad; y  </w:t>
      </w:r>
    </w:p>
    <w:p w:rsidR="006457EC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E473B" w:rsidRPr="00FE473B" w:rsidRDefault="00FE473B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F6C" w:rsidRPr="004A0F6C" w:rsidRDefault="004A0F6C" w:rsidP="00FE47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solicita la eximición de la Tasa por Servicios a la Propi</w:t>
      </w:r>
      <w:r w:rsidR="004010F8">
        <w:rPr>
          <w:rFonts w:ascii="Courier New" w:hAnsi="Courier New" w:cs="Courier New"/>
          <w:sz w:val="24"/>
          <w:szCs w:val="24"/>
        </w:rPr>
        <w:t>e</w:t>
      </w:r>
      <w:r w:rsidR="00FE473B">
        <w:rPr>
          <w:rFonts w:ascii="Courier New" w:hAnsi="Courier New" w:cs="Courier New"/>
          <w:sz w:val="24"/>
          <w:szCs w:val="24"/>
        </w:rPr>
        <w:t>dad Cuenta Municipal Nº 00017196</w:t>
      </w:r>
      <w:r w:rsidRPr="004A0F6C">
        <w:rPr>
          <w:rFonts w:ascii="Courier New" w:hAnsi="Courier New" w:cs="Courier New"/>
          <w:sz w:val="24"/>
          <w:szCs w:val="24"/>
        </w:rPr>
        <w:t>;</w:t>
      </w:r>
    </w:p>
    <w:p w:rsidR="004A0F6C" w:rsidRPr="004A0F6C" w:rsidRDefault="004A0F6C" w:rsidP="00FE47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E473B" w:rsidRPr="00281654" w:rsidRDefault="002B6C43" w:rsidP="00FE47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 w:rsidR="00FE473B">
        <w:rPr>
          <w:rFonts w:ascii="Courier New" w:eastAsia="Arial Unicode MS" w:hAnsi="Courier New" w:cs="Courier New"/>
          <w:sz w:val="24"/>
          <w:szCs w:val="24"/>
        </w:rPr>
        <w:t xml:space="preserve"> según informe socio económico realizado por la Secretaria de Salud, Desarrollo y Equidad se trata de un hogar unipersonal cuyos ingresos provienen de la transferencia formal del Estado, a través de la jubilación mínima, siendo estos recursos único, escasos e insuficientes;</w:t>
      </w:r>
    </w:p>
    <w:p w:rsidR="004A0F6C" w:rsidRPr="004A0F6C" w:rsidRDefault="004A0F6C" w:rsidP="00FE47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A0F6C" w:rsidRDefault="00EF5590" w:rsidP="00FE473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A0F6C">
        <w:rPr>
          <w:rFonts w:ascii="Courier New" w:hAnsi="Courier New" w:cs="Courier New"/>
          <w:sz w:val="24"/>
          <w:szCs w:val="24"/>
        </w:rPr>
        <w:t>ón de Hacienda</w:t>
      </w:r>
      <w:r w:rsidRPr="004A0F6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010F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01 de septiembre</w:t>
      </w:r>
      <w:r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FE473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POR CIENTO (100%) el pago  de la deuda en concepto de Tasa por Servicio a la Propiedad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FE473B">
        <w:rPr>
          <w:rFonts w:ascii="Courier New" w:eastAsia="Arial Unicode MS" w:hAnsi="Courier New" w:cs="Courier New"/>
          <w:sz w:val="24"/>
          <w:szCs w:val="24"/>
        </w:rPr>
        <w:t>00017196</w:t>
      </w:r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FD3C4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bookmarkStart w:id="0" w:name="_GoBack"/>
      <w:bookmarkEnd w:id="0"/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>UN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334A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6C43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010F8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C6D9B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D3C42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95E01C0-FBBD-41EC-BB70-D3B23D829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2021-08-26T11:24:00Z</cp:lastPrinted>
  <dcterms:created xsi:type="dcterms:W3CDTF">2021-09-02T11:09:00Z</dcterms:created>
  <dcterms:modified xsi:type="dcterms:W3CDTF">2021-09-02T13:23:00Z</dcterms:modified>
</cp:coreProperties>
</file>