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4E72B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12234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83069" w:rsidRDefault="00F229D5" w:rsidP="004E72B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4E72B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73/20 - iniciado por Saucedo Noemí Susana   – Eximición Tasa por Servicio a la Propiedad- Ord. 4518; y  </w:t>
      </w:r>
    </w:p>
    <w:p w:rsidR="00DC68E3" w:rsidRPr="00B67DB9" w:rsidRDefault="00DC68E3" w:rsidP="00A40DD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8306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E72B4" w:rsidRDefault="004E72B4" w:rsidP="0008306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E335C1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E72B4" w:rsidRDefault="00661D01" w:rsidP="004E72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4E72B4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Propiedad Cuenta Municipal Nº00002155;</w:t>
      </w:r>
    </w:p>
    <w:p w:rsidR="004E72B4" w:rsidRDefault="004E72B4" w:rsidP="004E72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4E72B4" w:rsidRDefault="004E72B4" w:rsidP="004E72B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se trata de un inmueble ubicado en la calle Nicolás Avellaneda 353, inventariada con ficha Nº59 dentro del A.P.S.O.;</w:t>
      </w:r>
    </w:p>
    <w:p w:rsidR="004E72B4" w:rsidRDefault="004E72B4" w:rsidP="004E72B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297B" w:rsidRDefault="004E72B4" w:rsidP="004E72B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a fs. 31 el Área Patrimonio informa </w:t>
      </w:r>
      <w:r w:rsidR="00110EBD">
        <w:rPr>
          <w:rFonts w:ascii="Courier New" w:hAnsi="Courier New" w:cs="Courier New"/>
          <w:sz w:val="24"/>
          <w:szCs w:val="24"/>
        </w:rPr>
        <w:t>que</w:t>
      </w: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 xml:space="preserve"> el inmueble conserva su lenguaje original y sus características arquitectónicas, sin modificación alguna y se observó falta de mantenimiento de la propiedad;</w:t>
      </w:r>
    </w:p>
    <w:p w:rsidR="004E72B4" w:rsidRPr="004E72B4" w:rsidRDefault="004E72B4" w:rsidP="004E72B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03082" w:rsidRPr="00C83D13" w:rsidRDefault="00351F39" w:rsidP="00E335C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487876">
        <w:rPr>
          <w:rFonts w:ascii="Courier New" w:hAnsi="Courier New" w:cs="Courier New"/>
          <w:sz w:val="24"/>
          <w:szCs w:val="24"/>
        </w:rPr>
        <w:t>a 27</w:t>
      </w:r>
      <w:r w:rsidR="00C607A4">
        <w:rPr>
          <w:rFonts w:ascii="Courier New" w:hAnsi="Courier New" w:cs="Courier New"/>
          <w:sz w:val="24"/>
          <w:szCs w:val="24"/>
        </w:rPr>
        <w:t xml:space="preserve"> de jul</w:t>
      </w:r>
      <w:r w:rsidR="00503082" w:rsidRPr="00C83D13">
        <w:rPr>
          <w:rFonts w:ascii="Courier New" w:hAnsi="Courier New" w:cs="Courier New"/>
          <w:sz w:val="24"/>
          <w:szCs w:val="24"/>
        </w:rPr>
        <w:t>io de 2022.</w:t>
      </w:r>
    </w:p>
    <w:p w:rsidR="00B67DB9" w:rsidRPr="00B5085A" w:rsidRDefault="00B67DB9" w:rsidP="000830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A40DD6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40DD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4E72B4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000D0" w:rsidRDefault="00844906" w:rsidP="004E72B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503082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4E72B4">
        <w:rPr>
          <w:rFonts w:ascii="Courier New" w:hAnsi="Courier New" w:cs="Courier New"/>
          <w:sz w:val="24"/>
          <w:szCs w:val="24"/>
        </w:rPr>
        <w:t>00002155</w:t>
      </w:r>
      <w:r w:rsidR="0050308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4E72B4" w:rsidRDefault="004E72B4" w:rsidP="004E72B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E72B4" w:rsidRDefault="004E72B4" w:rsidP="004E72B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35C1" w:rsidRDefault="00E335C1" w:rsidP="00E335C1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E335C1" w:rsidRDefault="00E335C1" w:rsidP="00E335C1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503082" w:rsidRPr="00503082" w:rsidRDefault="004E72B4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A40DD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40DD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48787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40DD6">
      <w:pPr>
        <w:spacing w:line="276" w:lineRule="auto"/>
        <w:jc w:val="both"/>
      </w:pPr>
    </w:p>
    <w:p w:rsidR="00A05052" w:rsidRDefault="00A05052" w:rsidP="00A40DD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83069"/>
    <w:rsid w:val="000C01CB"/>
    <w:rsid w:val="000D2C9E"/>
    <w:rsid w:val="00110EBD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4E72B4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C683A"/>
    <w:rsid w:val="00DC68E3"/>
    <w:rsid w:val="00DD297B"/>
    <w:rsid w:val="00DF76B6"/>
    <w:rsid w:val="00E10FFC"/>
    <w:rsid w:val="00E206DB"/>
    <w:rsid w:val="00E335C1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BC2C7-D683-4419-8692-680AB036B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210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2022-07-28T11:08:00Z</cp:lastPrinted>
  <dcterms:created xsi:type="dcterms:W3CDTF">2022-07-28T11:14:00Z</dcterms:created>
  <dcterms:modified xsi:type="dcterms:W3CDTF">2022-07-28T13:24:00Z</dcterms:modified>
</cp:coreProperties>
</file>