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B2F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B2F5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469/2011 presentado por </w:t>
      </w:r>
      <w:r w:rsidR="00AF1753">
        <w:rPr>
          <w:rFonts w:ascii="Courier New" w:hAnsi="Courier New" w:cs="Courier New"/>
          <w:b w:val="0"/>
          <w:sz w:val="24"/>
          <w:szCs w:val="24"/>
          <w:lang w:val="es-ES_tradnl"/>
        </w:rPr>
        <w:t>Agrupación</w:t>
      </w:r>
      <w:bookmarkStart w:id="0" w:name="_GoBack"/>
      <w:bookmarkEnd w:id="0"/>
      <w:r w:rsidR="000B2F5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Gaucha “Padre Buteler</w:t>
      </w:r>
      <w:r w:rsidR="000B2F56">
        <w:rPr>
          <w:rFonts w:ascii="Courier New" w:hAnsi="Courier New" w:cs="Courier New"/>
          <w:b w:val="0"/>
          <w:sz w:val="24"/>
          <w:szCs w:val="24"/>
          <w:lang w:val="es-ES_tradnl"/>
        </w:rPr>
        <w:t>”– Eximición de la Tasa de la Propiedad</w:t>
      </w:r>
      <w:r w:rsidR="000B2F5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0B2F56">
        <w:rPr>
          <w:rFonts w:ascii="Courier New" w:eastAsia="Arial Unicode MS" w:hAnsi="Courier New" w:cs="Courier New"/>
          <w:sz w:val="24"/>
          <w:szCs w:val="24"/>
        </w:rPr>
        <w:t>00030332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B3538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2F56">
        <w:rPr>
          <w:rFonts w:ascii="Courier New" w:eastAsia="Arial Unicode MS" w:hAnsi="Courier New" w:cs="Courier New"/>
          <w:sz w:val="24"/>
          <w:szCs w:val="24"/>
        </w:rPr>
        <w:t>dicha solicitud se encuadra dentro de lo establecido en el art.80 inciso 2 EXENCIONES SUBJETIVAS DE LA ORDENANZA N° 9436, que contempla las e</w:t>
      </w:r>
      <w:r w:rsidR="000B2F56">
        <w:rPr>
          <w:rFonts w:ascii="Courier New" w:eastAsia="Arial Unicode MS" w:hAnsi="Courier New" w:cs="Courier New"/>
          <w:sz w:val="24"/>
          <w:szCs w:val="24"/>
        </w:rPr>
        <w:t>xenciones que inciden sobre la Tasa por Servicio a la P</w:t>
      </w:r>
      <w:r w:rsidR="000B2F56">
        <w:rPr>
          <w:rFonts w:ascii="Courier New" w:eastAsia="Arial Unicode MS" w:hAnsi="Courier New" w:cs="Courier New"/>
          <w:sz w:val="24"/>
          <w:szCs w:val="24"/>
        </w:rPr>
        <w:t>ropiedad</w:t>
      </w:r>
      <w:r w:rsidR="000B2F56">
        <w:rPr>
          <w:rFonts w:ascii="Courier New" w:eastAsia="Arial Unicode MS" w:hAnsi="Courier New" w:cs="Courier New"/>
          <w:sz w:val="24"/>
          <w:szCs w:val="24"/>
        </w:rPr>
        <w:t>;</w:t>
      </w:r>
    </w:p>
    <w:p w:rsidR="000B2F56" w:rsidRPr="004C03C5" w:rsidRDefault="000B2F5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B2F56">
        <w:rPr>
          <w:rFonts w:ascii="Courier New" w:hAnsi="Courier New" w:cs="Courier New"/>
          <w:sz w:val="24"/>
          <w:szCs w:val="24"/>
        </w:rPr>
        <w:t>Ordinaria del día 24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B2F56">
        <w:rPr>
          <w:rFonts w:ascii="Courier New" w:eastAsia="Arial Unicode MS" w:hAnsi="Courier New" w:cs="Courier New"/>
          <w:sz w:val="24"/>
          <w:szCs w:val="24"/>
        </w:rPr>
        <w:t>00030332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0B2F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43F" w:rsidRDefault="0066343F" w:rsidP="00EF563D">
      <w:pPr>
        <w:spacing w:after="0" w:line="240" w:lineRule="auto"/>
      </w:pPr>
      <w:r>
        <w:separator/>
      </w:r>
    </w:p>
  </w:endnote>
  <w:endnote w:type="continuationSeparator" w:id="0">
    <w:p w:rsidR="0066343F" w:rsidRDefault="0066343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43F" w:rsidRDefault="0066343F" w:rsidP="00EF563D">
      <w:pPr>
        <w:spacing w:after="0" w:line="240" w:lineRule="auto"/>
      </w:pPr>
      <w:r>
        <w:separator/>
      </w:r>
    </w:p>
  </w:footnote>
  <w:footnote w:type="continuationSeparator" w:id="0">
    <w:p w:rsidR="0066343F" w:rsidRDefault="0066343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2F56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43F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D5E14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175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0462E-9E06-4077-8471-A899BB4F0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2024-04-25T11:38:00Z</cp:lastPrinted>
  <dcterms:created xsi:type="dcterms:W3CDTF">2024-04-25T11:38:00Z</dcterms:created>
  <dcterms:modified xsi:type="dcterms:W3CDTF">2024-04-25T12:11:00Z</dcterms:modified>
</cp:coreProperties>
</file>