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E1C2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12952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40E84" w:rsidRDefault="002D0AE6" w:rsidP="00A016C1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0E1C2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0E1C2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Nº 573/2020 - iniciado por </w:t>
      </w:r>
      <w:r w:rsidR="000E1C25">
        <w:rPr>
          <w:rFonts w:ascii="Courier New" w:hAnsi="Courier New" w:cs="Courier New"/>
          <w:b w:val="0"/>
          <w:sz w:val="24"/>
          <w:szCs w:val="24"/>
          <w:lang w:val="es-ES_tradnl"/>
        </w:rPr>
        <w:t>López</w:t>
      </w:r>
      <w:r w:rsidR="000E1C2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Carlos Gustavo– Eximición de Tasas; y  </w:t>
      </w:r>
    </w:p>
    <w:p w:rsidR="000A5790" w:rsidRPr="00240E84" w:rsidRDefault="000A5790" w:rsidP="006C3F8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D6D70" w:rsidRPr="008A6A0C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016C1" w:rsidRDefault="00A016C1" w:rsidP="00A016C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016C1" w:rsidRDefault="00A016C1" w:rsidP="000E1C25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Tasa por Servicios a la Propiedad </w:t>
      </w:r>
      <w:r w:rsidRPr="00A016C1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0E1C25">
        <w:rPr>
          <w:rFonts w:ascii="Courier New" w:eastAsia="Arial Unicode MS" w:hAnsi="Courier New" w:cs="Courier New"/>
          <w:sz w:val="24"/>
          <w:szCs w:val="24"/>
        </w:rPr>
        <w:t>00006641</w:t>
      </w:r>
      <w:r w:rsidRPr="00A016C1">
        <w:rPr>
          <w:rFonts w:ascii="Courier New" w:eastAsia="Arial Unicode MS" w:hAnsi="Courier New" w:cs="Courier New"/>
          <w:sz w:val="24"/>
          <w:szCs w:val="24"/>
        </w:rPr>
        <w:t xml:space="preserve"> y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s-ES_tradnl"/>
        </w:rPr>
        <w:t>de la deuda que mantiene con COSAG</w:t>
      </w:r>
      <w:r w:rsidR="000E1C25" w:rsidRPr="000E1C2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E1C25">
        <w:rPr>
          <w:rFonts w:ascii="Courier New" w:eastAsia="Arial Unicode MS" w:hAnsi="Courier New" w:cs="Courier New"/>
          <w:sz w:val="24"/>
          <w:szCs w:val="24"/>
        </w:rPr>
        <w:t>Cuenta Nº 03-01-257-017|50320/00-05</w:t>
      </w:r>
      <w:r w:rsidR="000E1C25">
        <w:rPr>
          <w:rFonts w:ascii="Courier New" w:eastAsia="Arial Unicode MS" w:hAnsi="Courier New" w:cs="Courier New"/>
          <w:sz w:val="24"/>
          <w:szCs w:val="24"/>
        </w:rPr>
        <w:t>;</w:t>
      </w:r>
    </w:p>
    <w:p w:rsidR="00A016C1" w:rsidRDefault="00A016C1" w:rsidP="000E1C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016C1" w:rsidRPr="00FD6D70" w:rsidRDefault="00675CA7" w:rsidP="000E1C2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016C1" w:rsidRPr="00FD6D70">
        <w:rPr>
          <w:rFonts w:ascii="Courier New" w:eastAsia="Arial Unicode MS" w:hAnsi="Courier New" w:cs="Courier New"/>
          <w:sz w:val="24"/>
          <w:szCs w:val="24"/>
        </w:rPr>
        <w:t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A016C1" w:rsidRPr="00FD6D70" w:rsidRDefault="00A016C1" w:rsidP="000E1C2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Default="00A016C1" w:rsidP="000E1C2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91D0F"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A016C1" w:rsidRDefault="00A016C1" w:rsidP="000E1C2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Pr="000E1C25" w:rsidRDefault="00A016C1" w:rsidP="000E1C2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0E1C25">
        <w:rPr>
          <w:rFonts w:ascii="Courier New" w:eastAsia="Arial Unicode MS" w:hAnsi="Courier New" w:cs="Courier New"/>
          <w:sz w:val="24"/>
          <w:szCs w:val="24"/>
        </w:rPr>
        <w:t xml:space="preserve">según el informe socioeconómico realizado por la Subsecretaría de Desarrollo Social se trata de un hogar unipersonal que subsiste a través de transferencia estatal del beneficio no contributiva y de changas esporádicas y de acuerdo a estos ingresos no alcanza a cubrir sus necesidades totales encontrándose en situación de indigencia; </w:t>
      </w:r>
    </w:p>
    <w:p w:rsidR="005B6D05" w:rsidRPr="00A016C1" w:rsidRDefault="00240E84" w:rsidP="000E1C2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016C1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2D0AE6" w:rsidRDefault="00A04936" w:rsidP="000E1C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>Ordinaria del día 31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FD6D70" w:rsidRPr="00336EEA">
        <w:rPr>
          <w:rFonts w:ascii="Courier New" w:hAnsi="Courier New" w:cs="Courier New"/>
          <w:sz w:val="24"/>
          <w:szCs w:val="24"/>
        </w:rPr>
        <w:t>de jul</w:t>
      </w:r>
      <w:r w:rsidR="00080F9E" w:rsidRPr="00336EEA">
        <w:rPr>
          <w:rFonts w:ascii="Courier New" w:hAnsi="Courier New" w:cs="Courier New"/>
          <w:sz w:val="24"/>
          <w:szCs w:val="24"/>
        </w:rPr>
        <w:t>io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A016C1" w:rsidRDefault="00A016C1" w:rsidP="000E1C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016C1" w:rsidRDefault="00A016C1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016C1" w:rsidRDefault="00A016C1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016C1" w:rsidRDefault="00A016C1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E1C25" w:rsidRDefault="000E1C25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E1C25" w:rsidRDefault="000E1C25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016C1" w:rsidRDefault="00A016C1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016C1" w:rsidRDefault="00A016C1" w:rsidP="00A016C1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A016C1" w:rsidRPr="00A016C1" w:rsidRDefault="00A016C1" w:rsidP="00A016C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0A5790" w:rsidRPr="00240E84" w:rsidRDefault="000A5790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016C1" w:rsidRPr="00A016C1" w:rsidRDefault="00240E84" w:rsidP="000E1C25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r w:rsidRPr="00A016C1"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Art.1</w:t>
      </w:r>
      <w:r w:rsidRPr="00A016C1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Pr="00A016C1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A016C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Cuenta Municipal Nº</w:t>
      </w:r>
      <w:r w:rsidR="000E1C25">
        <w:rPr>
          <w:rFonts w:ascii="Courier New" w:eastAsia="Arial Unicode MS" w:hAnsi="Courier New" w:cs="Courier New"/>
          <w:sz w:val="24"/>
          <w:szCs w:val="24"/>
        </w:rPr>
        <w:t>00006641</w:t>
      </w:r>
      <w:r w:rsidRPr="00A016C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A016C1" w:rsidRPr="00A016C1" w:rsidRDefault="00A016C1" w:rsidP="000E1C2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Default="00A016C1" w:rsidP="000E1C25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016C1"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Art.2</w:t>
      </w:r>
      <w:r w:rsidRPr="00A016C1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Pr="00A016C1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A016C1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Cuenta </w:t>
      </w:r>
      <w:r w:rsidRPr="00A016C1">
        <w:rPr>
          <w:rFonts w:ascii="Courier New" w:eastAsia="Arial Unicode MS" w:hAnsi="Courier New" w:cs="Courier New"/>
          <w:sz w:val="24"/>
          <w:szCs w:val="24"/>
        </w:rPr>
        <w:t>Nº</w:t>
      </w:r>
      <w:r w:rsidR="000E1C25" w:rsidRPr="000E1C2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E1C25">
        <w:rPr>
          <w:rFonts w:ascii="Courier New" w:eastAsia="Arial Unicode MS" w:hAnsi="Courier New" w:cs="Courier New"/>
          <w:sz w:val="24"/>
          <w:szCs w:val="24"/>
        </w:rPr>
        <w:t>Nº03-01-257-017|50320/00-05</w:t>
      </w:r>
      <w:r w:rsidRPr="00A016C1">
        <w:rPr>
          <w:rFonts w:ascii="Courier New" w:eastAsia="Arial Unicode MS" w:hAnsi="Courier New" w:cs="Courier New"/>
          <w:sz w:val="24"/>
          <w:szCs w:val="24"/>
        </w:rPr>
        <w:t xml:space="preserve"> por la prestación de servicio hasta diciembre de 2024 inclusive. </w:t>
      </w:r>
    </w:p>
    <w:p w:rsidR="00A016C1" w:rsidRPr="00A016C1" w:rsidRDefault="00A016C1" w:rsidP="000E1C2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5180" w:rsidRPr="00A016C1" w:rsidRDefault="00A016C1" w:rsidP="000E1C25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A016C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A016C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 w:rsidRPr="00A016C1">
        <w:rPr>
          <w:rFonts w:ascii="Courier New" w:hAnsi="Courier New" w:cs="Courier New"/>
          <w:b/>
          <w:sz w:val="24"/>
          <w:szCs w:val="24"/>
        </w:rPr>
        <w:t xml:space="preserve">PROTOCOLÍCESE, </w:t>
      </w:r>
      <w:r w:rsidR="00465180" w:rsidRPr="00A016C1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bookmarkEnd w:id="0"/>
    <w:p w:rsidR="003A2DE0" w:rsidRPr="00A016C1" w:rsidRDefault="003A2DE0" w:rsidP="00A016C1">
      <w:pPr>
        <w:pStyle w:val="Prrafodelista"/>
        <w:spacing w:line="276" w:lineRule="auto"/>
        <w:jc w:val="both"/>
        <w:rPr>
          <w:rFonts w:ascii="Courier New" w:hAnsi="Courier New" w:cs="Courier New"/>
          <w:b/>
          <w:color w:val="000000"/>
          <w:sz w:val="24"/>
          <w:szCs w:val="24"/>
          <w:u w:val="single"/>
          <w:lang w:val="es-AR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TREINTA Y ÚN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7B9D" w:rsidRDefault="00F37B9D" w:rsidP="00EF563D">
      <w:pPr>
        <w:spacing w:after="0" w:line="240" w:lineRule="auto"/>
      </w:pPr>
      <w:r>
        <w:separator/>
      </w:r>
    </w:p>
  </w:endnote>
  <w:endnote w:type="continuationSeparator" w:id="0">
    <w:p w:rsidR="00F37B9D" w:rsidRDefault="00F37B9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7B9D" w:rsidRDefault="00F37B9D" w:rsidP="00EF563D">
      <w:pPr>
        <w:spacing w:after="0" w:line="240" w:lineRule="auto"/>
      </w:pPr>
      <w:r>
        <w:separator/>
      </w:r>
    </w:p>
  </w:footnote>
  <w:footnote w:type="continuationSeparator" w:id="0">
    <w:p w:rsidR="00F37B9D" w:rsidRDefault="00F37B9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1C25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E5838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16C1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37B9D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4134DE-16F1-4D73-8718-63108AB29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2024-08-01T12:39:00Z</cp:lastPrinted>
  <dcterms:created xsi:type="dcterms:W3CDTF">2024-08-01T12:45:00Z</dcterms:created>
  <dcterms:modified xsi:type="dcterms:W3CDTF">2024-08-01T12:45:00Z</dcterms:modified>
</cp:coreProperties>
</file>