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355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3B06" w:rsidRDefault="002D0AE6" w:rsidP="0064415E">
      <w:pPr>
        <w:pStyle w:val="Prrafodelista"/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35523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Nº250</w:t>
      </w:r>
      <w:r w:rsidR="00935523" w:rsidRPr="003757C8">
        <w:rPr>
          <w:rFonts w:ascii="Courier New" w:eastAsia="Arial Unicode MS" w:hAnsi="Courier New" w:cs="Courier New"/>
          <w:sz w:val="24"/>
          <w:szCs w:val="24"/>
          <w:lang w:val="es-ES_tradnl"/>
        </w:rPr>
        <w:t>/</w:t>
      </w:r>
      <w:r w:rsidR="00935523">
        <w:rPr>
          <w:rFonts w:ascii="Courier New" w:eastAsia="Arial Unicode MS" w:hAnsi="Courier New" w:cs="Courier New"/>
          <w:sz w:val="24"/>
          <w:szCs w:val="24"/>
          <w:lang w:val="es-ES_tradnl"/>
        </w:rPr>
        <w:t>2025 iniciado por el Sr. Amaya Carlos Enrique– Ref.:</w:t>
      </w:r>
      <w:r w:rsidR="00935523">
        <w:rPr>
          <w:rFonts w:ascii="Courier New" w:hAnsi="Courier New" w:cs="Courier New"/>
          <w:sz w:val="24"/>
          <w:szCs w:val="24"/>
        </w:rPr>
        <w:t xml:space="preserve"> Previa; y</w:t>
      </w:r>
    </w:p>
    <w:p w:rsidR="00935523" w:rsidRPr="00D73B06" w:rsidRDefault="00935523" w:rsidP="0064415E">
      <w:pPr>
        <w:pStyle w:val="Prrafodelista"/>
        <w:spacing w:line="276" w:lineRule="auto"/>
        <w:ind w:left="709" w:hanging="851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3D624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D624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35523" w:rsidRPr="00935523" w:rsidRDefault="00245C18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35523" w:rsidRPr="00935523">
        <w:rPr>
          <w:rFonts w:ascii="Courier New" w:eastAsia="Arial Unicode MS" w:hAnsi="Courier New" w:cs="Courier New"/>
          <w:sz w:val="24"/>
          <w:szCs w:val="24"/>
        </w:rPr>
        <w:t xml:space="preserve"> a fs. 3</w:t>
      </w:r>
      <w:r w:rsidR="00CC45B6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935523" w:rsidRPr="00935523">
        <w:rPr>
          <w:rFonts w:ascii="Courier New" w:eastAsia="Arial Unicode MS" w:hAnsi="Courier New" w:cs="Courier New"/>
          <w:sz w:val="24"/>
          <w:szCs w:val="24"/>
        </w:rPr>
        <w:t>obra fotocopia del Dni del Sr. Amaya Carlos Enrique;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a fojas N° 16 obra visación de Área Obras Privadas, donde se señala el incumplimiento en relación al retiro y condiciones de ventilación de la construcción,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a fojas N° 18 obra nota dirigida al H.C.D. solicitando reconsideración de los aranceles municipales a abonar, indicando montos y forma de pago, además de solicitar excepción a la demolición del living por invasión de la línea de ochava,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a fojas N° 19 a N° 25 obran fotografías de distintas esquinas del barrio que ejemplifican idénticas condiciones, en apoyo al planteo realizado,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a fojas N° 26 obra planilla de liquidación de honorarios profesionales,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935523">
        <w:rPr>
          <w:rFonts w:ascii="Courier New" w:eastAsia="Arial Unicode MS" w:hAnsi="Courier New" w:cs="Courier New"/>
          <w:sz w:val="24"/>
          <w:szCs w:val="24"/>
          <w:lang w:val="pt-BR"/>
        </w:rPr>
        <w:t>Que a fojas N° 29 obra plano de relevamiento colegiado,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en relación al punto 1 del análisis efectuado por la Secretaría de Obras Públicas, Control y Planificación Urbana, el Sr. Amaya solicita se cobre la tasa municipal tomando como referencia $168.000 por m2 (valor utilizado por los Colegios Profesionales a diciembre), y abonar en 18 cuotas. Se aclara que al mes de diciembre de 2024 el valor referencial fijado por los Colegios Profesionales era $345.000 por m2, vigente hasta el 31 de marzo de 2025, y que desde el 1 de abril de 2025 el valor se actualizó a $470.000, regirá hasta el 30 de septiembre de 2025, momento en el que entrará en vigencia el nuevo valor de $589.000 por m2.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Default="00935523" w:rsidP="00935523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35523" w:rsidRPr="00935523" w:rsidRDefault="00935523" w:rsidP="00935523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en referencia al punto 2, sobre la invasión a la línea de ochava, el vecino solicita no llegar a la demolición del living, argumentando que el mismo solo invade 10 cm dicha línea y acompaña fotografías de otras p</w:t>
      </w:r>
      <w:r>
        <w:rPr>
          <w:rFonts w:ascii="Courier New" w:eastAsia="Arial Unicode MS" w:hAnsi="Courier New" w:cs="Courier New"/>
          <w:sz w:val="24"/>
          <w:szCs w:val="24"/>
        </w:rPr>
        <w:t>ropiedades en situación similar;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distinta es la situación del cerramiento perimetral sobre Línea Municipal, materializado mediante alambrado tejido romboidal cubierto de vegetación y pilares de ladrillo visto, el cual debe ser removido y desplazado para no obstaculi</w:t>
      </w:r>
      <w:r>
        <w:rPr>
          <w:rFonts w:ascii="Courier New" w:eastAsia="Arial Unicode MS" w:hAnsi="Courier New" w:cs="Courier New"/>
          <w:sz w:val="24"/>
          <w:szCs w:val="24"/>
        </w:rPr>
        <w:t>zar la visual a los conductores;</w:t>
      </w:r>
    </w:p>
    <w:p w:rsidR="00935523" w:rsidRPr="00935523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935523" w:rsidP="009355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35523">
        <w:rPr>
          <w:rFonts w:ascii="Courier New" w:eastAsia="Arial Unicode MS" w:hAnsi="Courier New" w:cs="Courier New"/>
          <w:sz w:val="24"/>
          <w:szCs w:val="24"/>
        </w:rPr>
        <w:t>Que corresponde el análisis de lo solicitado respecto a la reconsideración de aranceles, dado que existen diferencias entre el valor referencial histórico y el vigente fijado por Ley Provincial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35523" w:rsidRPr="00935523" w:rsidRDefault="00935523" w:rsidP="009355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50F2" w:rsidRPr="00935523" w:rsidRDefault="00F45319" w:rsidP="0064415E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35523">
        <w:rPr>
          <w:rFonts w:ascii="Courier New" w:hAnsi="Courier New" w:cs="Courier New"/>
          <w:sz w:val="24"/>
          <w:szCs w:val="24"/>
        </w:rPr>
        <w:t>Que evaluado el expedi</w:t>
      </w:r>
      <w:r w:rsidR="00D52CE1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935523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935523">
        <w:rPr>
          <w:rFonts w:ascii="Courier New" w:hAnsi="Courier New" w:cs="Courier New"/>
          <w:sz w:val="24"/>
          <w:szCs w:val="24"/>
        </w:rPr>
        <w:t>d en Sesión Ordinaria</w:t>
      </w:r>
      <w:r w:rsidR="005F50F2" w:rsidRPr="00935523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935523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935523">
        <w:rPr>
          <w:rFonts w:ascii="Courier New" w:hAnsi="Courier New" w:cs="Courier New"/>
          <w:sz w:val="24"/>
          <w:szCs w:val="24"/>
        </w:rPr>
        <w:t>.</w:t>
      </w: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Default="0064415E" w:rsidP="00D52CE1">
      <w:pPr>
        <w:pStyle w:val="Prrafodelista"/>
        <w:ind w:hanging="992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52CE1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D52CE1" w:rsidRPr="00BF7211">
        <w:rPr>
          <w:rFonts w:ascii="Courier New" w:hAnsi="Courier New" w:cs="Courier New"/>
          <w:sz w:val="24"/>
          <w:szCs w:val="24"/>
        </w:rPr>
        <w:t>la presentación del  Pr</w:t>
      </w:r>
      <w:r w:rsidR="00D52CE1">
        <w:rPr>
          <w:rFonts w:ascii="Courier New" w:hAnsi="Courier New" w:cs="Courier New"/>
          <w:sz w:val="24"/>
          <w:szCs w:val="24"/>
        </w:rPr>
        <w:t>oyecto de planos obrante a Fs. 29</w:t>
      </w:r>
      <w:r w:rsidR="00D52CE1" w:rsidRPr="00BF7211">
        <w:rPr>
          <w:rFonts w:ascii="Courier New" w:hAnsi="Courier New" w:cs="Courier New"/>
          <w:sz w:val="24"/>
          <w:szCs w:val="24"/>
        </w:rPr>
        <w:t xml:space="preserve"> del expediente de referencia, </w:t>
      </w:r>
      <w:r w:rsidR="00D52CE1">
        <w:rPr>
          <w:rFonts w:ascii="Courier New" w:hAnsi="Courier New" w:cs="Courier New"/>
          <w:sz w:val="24"/>
          <w:szCs w:val="24"/>
        </w:rPr>
        <w:t>sin el cumplimiento del Art. 212</w:t>
      </w:r>
      <w:r w:rsidR="00D52CE1" w:rsidRPr="00BF7211">
        <w:rPr>
          <w:rFonts w:ascii="Courier New" w:hAnsi="Courier New" w:cs="Courier New"/>
          <w:sz w:val="24"/>
          <w:szCs w:val="24"/>
        </w:rPr>
        <w:t xml:space="preserve"> de la Ordenanza Nº8547  - Con respecto </w:t>
      </w:r>
      <w:r w:rsidR="00D52CE1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la </w:t>
      </w:r>
      <w:r w:rsidR="00D52CE1" w:rsidRPr="00BF7211">
        <w:rPr>
          <w:rFonts w:ascii="Courier New" w:hAnsi="Courier New" w:cs="Courier New"/>
          <w:sz w:val="24"/>
          <w:szCs w:val="24"/>
          <w:shd w:val="clear" w:color="auto" w:fill="FFFFFF"/>
        </w:rPr>
        <w:t xml:space="preserve">Ochava </w:t>
      </w:r>
      <w:r w:rsidR="00D52CE1" w:rsidRPr="00BF7211">
        <w:rPr>
          <w:rFonts w:ascii="Courier New" w:hAnsi="Courier New" w:cs="Courier New"/>
          <w:sz w:val="24"/>
          <w:szCs w:val="24"/>
        </w:rPr>
        <w:t>en el inmueble</w:t>
      </w:r>
      <w:r w:rsidR="00D52CE1">
        <w:rPr>
          <w:rFonts w:ascii="Courier New" w:hAnsi="Courier New" w:cs="Courier New"/>
          <w:sz w:val="24"/>
          <w:szCs w:val="24"/>
        </w:rPr>
        <w:t xml:space="preserve"> Designación Catastral  03-01-351-001 ubicado en Av. Central y San Cristóbal Nº230 Barrio Lalahenes</w:t>
      </w:r>
      <w:r w:rsidR="00D52CE1">
        <w:rPr>
          <w:rFonts w:ascii="Courier New" w:eastAsia="Arial Unicode MS" w:hAnsi="Courier New" w:cs="Courier New"/>
          <w:sz w:val="24"/>
          <w:szCs w:val="24"/>
        </w:rPr>
        <w:t xml:space="preserve"> de nuestra ciudad.-</w:t>
      </w:r>
    </w:p>
    <w:p w:rsidR="00D52CE1" w:rsidRDefault="00D52CE1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415E" w:rsidRDefault="00D52CE1" w:rsidP="00D52CE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64415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4415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DEBERÁ </w:t>
      </w:r>
      <w:r w:rsidRPr="00AB192A">
        <w:rPr>
          <w:rFonts w:ascii="Courier New" w:hAnsi="Courier New" w:cs="Courier New"/>
          <w:sz w:val="24"/>
          <w:szCs w:val="24"/>
        </w:rPr>
        <w:t xml:space="preserve">dar </w:t>
      </w:r>
      <w:r w:rsidRPr="007968EA">
        <w:rPr>
          <w:rFonts w:ascii="Courier New" w:hAnsi="Courier New" w:cs="Courier New"/>
          <w:sz w:val="24"/>
          <w:szCs w:val="24"/>
        </w:rPr>
        <w:t xml:space="preserve">cumplimiento </w:t>
      </w:r>
      <w:r w:rsidRPr="009C4665">
        <w:rPr>
          <w:rFonts w:ascii="Courier New" w:hAnsi="Courier New" w:cs="Courier New"/>
          <w:sz w:val="24"/>
          <w:szCs w:val="24"/>
        </w:rPr>
        <w:t>con lo observado por la Secretaría de Obras Públicas, Control y Planificación Urbana, en cuanto a remover y desplazar el alambrado de tejido romboidal cubierto de vegetación y los pilares de ladrillo visto, ajustándolo a Línea Municipal</w:t>
      </w:r>
      <w:r>
        <w:rPr>
          <w:rFonts w:ascii="Courier New" w:hAnsi="Courier New" w:cs="Courier New"/>
          <w:sz w:val="24"/>
          <w:szCs w:val="24"/>
        </w:rPr>
        <w:t>.-</w:t>
      </w:r>
    </w:p>
    <w:p w:rsidR="00AA0F48" w:rsidRDefault="00AA0F48" w:rsidP="00D52CE1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D52CE1" w:rsidRDefault="00D52CE1" w:rsidP="00D52CE1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D52CE1" w:rsidRDefault="00D52CE1" w:rsidP="00D52CE1">
      <w:pPr>
        <w:spacing w:line="240" w:lineRule="auto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D52CE1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D52CE1" w:rsidRPr="00D52CE1" w:rsidRDefault="00D52CE1" w:rsidP="00D52CE1">
      <w:pPr>
        <w:spacing w:line="240" w:lineRule="auto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D52CE1" w:rsidRDefault="00D52CE1" w:rsidP="00D52CE1">
      <w:pPr>
        <w:spacing w:line="240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D52CE1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...///3.-</w:t>
      </w:r>
    </w:p>
    <w:p w:rsidR="00D52CE1" w:rsidRPr="00D52CE1" w:rsidRDefault="00D52CE1" w:rsidP="00D52CE1">
      <w:pPr>
        <w:spacing w:line="240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DAE" w:rsidRDefault="00574DAE" w:rsidP="00EF563D">
      <w:pPr>
        <w:spacing w:after="0" w:line="240" w:lineRule="auto"/>
      </w:pPr>
      <w:r>
        <w:separator/>
      </w:r>
    </w:p>
  </w:endnote>
  <w:endnote w:type="continuationSeparator" w:id="0">
    <w:p w:rsidR="00574DAE" w:rsidRDefault="00574DA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DAE" w:rsidRDefault="00574DAE" w:rsidP="00EF563D">
      <w:pPr>
        <w:spacing w:after="0" w:line="240" w:lineRule="auto"/>
      </w:pPr>
      <w:r>
        <w:separator/>
      </w:r>
    </w:p>
  </w:footnote>
  <w:footnote w:type="continuationSeparator" w:id="0">
    <w:p w:rsidR="00574DAE" w:rsidRDefault="00574DA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74DAE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15E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5523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C45B6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2CE1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3EE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41FC6-8149-483A-B928-391E73FE3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2025-10-02T15:04:00Z</cp:lastPrinted>
  <dcterms:created xsi:type="dcterms:W3CDTF">2025-10-02T15:14:00Z</dcterms:created>
  <dcterms:modified xsi:type="dcterms:W3CDTF">2025-10-02T15:43:00Z</dcterms:modified>
</cp:coreProperties>
</file>