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367" w:rsidRDefault="00BE143B" w:rsidP="002E03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9967</w:t>
      </w:r>
    </w:p>
    <w:p w:rsidR="002E0367" w:rsidRPr="002E0367" w:rsidRDefault="002E0367" w:rsidP="002E03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E0367" w:rsidRPr="004257FE" w:rsidRDefault="002E0367" w:rsidP="002E0367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968DD" w:rsidRPr="006968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585/12 iniciado por el Sr. Arroñade Edgar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2E0367" w:rsidRDefault="002E0367" w:rsidP="002E036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6968DD" w:rsidRDefault="006968DD" w:rsidP="006968D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a la Propiedad del inmueble cuenta Nº2262;</w:t>
      </w:r>
    </w:p>
    <w:p w:rsidR="002E0367" w:rsidRPr="006968DD" w:rsidRDefault="006968DD" w:rsidP="006968D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se trata de un hogar declarado como “Bien de Interés Municipal” ubicado en la calle Juan Nieto Nº 193; </w:t>
      </w:r>
    </w:p>
    <w:p w:rsidR="002E0367" w:rsidRPr="004257FE" w:rsidRDefault="002E0367" w:rsidP="002E036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1B62B0">
        <w:rPr>
          <w:rFonts w:ascii="Courier New" w:eastAsia="Calibri" w:hAnsi="Courier New" w:cs="Courier New"/>
          <w:sz w:val="24"/>
          <w:szCs w:val="24"/>
          <w:lang w:val="es-ES_tradnl"/>
        </w:rPr>
        <w:t>el expediente por la C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omisión de Hacienda</w:t>
      </w:r>
      <w:r w:rsidR="001B62B0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1B62B0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1B62B0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es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aprobado </w:t>
      </w:r>
      <w:r w:rsidR="001B62B0">
        <w:rPr>
          <w:rFonts w:ascii="Courier New" w:eastAsia="Calibri" w:hAnsi="Courier New" w:cs="Courier New"/>
          <w:sz w:val="24"/>
          <w:szCs w:val="24"/>
          <w:lang w:val="es-ES_tradnl"/>
        </w:rPr>
        <w:t xml:space="preserve">por unanimidad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en Sesión Ordinaria del día 03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E0367" w:rsidRPr="004257FE" w:rsidRDefault="002E0367" w:rsidP="00793A0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E0367" w:rsidRPr="00793A0F" w:rsidRDefault="002E0367" w:rsidP="00793A0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2E0367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6968DD" w:rsidRPr="006968D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696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2262 de la Tasa por Servicios a la Propiedad</w:t>
      </w:r>
      <w:r w:rsidR="001B62B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referencia</w:t>
      </w:r>
      <w:bookmarkStart w:id="0" w:name="_GoBack"/>
      <w:bookmarkEnd w:id="0"/>
      <w:r w:rsidR="001B62B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</w:t>
      </w:r>
      <w:r w:rsidR="00696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al día de la fecha mantiene con el Municipio y por el resto del periodo 2015 por tratarse de una propiedad declarada como “Bien de </w:t>
      </w:r>
      <w:r w:rsidR="00D60DC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Interés</w:t>
      </w:r>
      <w:r w:rsidR="00696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Municipal” de acuerdo a lo establecido en el Art. 18 de la Ordenanza 4368.-</w:t>
      </w:r>
    </w:p>
    <w:p w:rsidR="002E0367" w:rsidRPr="004257FE" w:rsidRDefault="00793A0F" w:rsidP="002E036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6968D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.2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2E0367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2E036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2E0367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2E0367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247C3" w:rsidRPr="00793A0F" w:rsidRDefault="002E0367">
      <w:pPr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TRES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8247C3" w:rsidRPr="00793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67"/>
    <w:rsid w:val="00104DDC"/>
    <w:rsid w:val="001B62B0"/>
    <w:rsid w:val="002E0367"/>
    <w:rsid w:val="0054086B"/>
    <w:rsid w:val="006968DD"/>
    <w:rsid w:val="00793A0F"/>
    <w:rsid w:val="008247C3"/>
    <w:rsid w:val="00A0378F"/>
    <w:rsid w:val="00BE143B"/>
    <w:rsid w:val="00CD21D6"/>
    <w:rsid w:val="00CE4799"/>
    <w:rsid w:val="00D6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2015-06-04T12:00:00Z</cp:lastPrinted>
  <dcterms:created xsi:type="dcterms:W3CDTF">2015-06-03T14:45:00Z</dcterms:created>
  <dcterms:modified xsi:type="dcterms:W3CDTF">2015-06-04T12:01:00Z</dcterms:modified>
</cp:coreProperties>
</file>