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28AF4D8" Type="http://schemas.openxmlformats.org/officeDocument/2006/relationships/officeDocument" Target="/word/document.xml" /><Relationship Id="coreR528AF4D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b w:val="1"/>
          <w:sz w:val="24"/>
          <w:u w:val="single"/>
        </w:rPr>
      </w:pPr>
      <w:r>
        <w:rPr>
          <w:rStyle w:val="C3"/>
          <w:rFonts w:ascii="Courier New" w:hAnsi="Courier New"/>
          <w:b w:val="1"/>
          <w:sz w:val="24"/>
          <w:u w:val="single"/>
        </w:rPr>
        <w:t>ORDENANZA</w:t>
      </w:r>
      <w:r>
        <w:rPr>
          <w:rStyle w:val="C3"/>
          <w:rFonts w:ascii="Courier New" w:hAnsi="Courier New"/>
          <w:b w:val="1"/>
          <w:sz w:val="24"/>
          <w:u w:val="single"/>
        </w:rPr>
        <w:t xml:space="preserve"> Nº</w:t>
      </w:r>
      <w:r>
        <w:rPr>
          <w:rStyle w:val="C3"/>
          <w:rFonts w:ascii="Courier New" w:hAnsi="Courier New"/>
          <w:b w:val="1"/>
          <w:sz w:val="24"/>
          <w:u w:val="single"/>
        </w:rPr>
        <w:t xml:space="preserve"> 9241</w:t>
      </w:r>
    </w:p>
    <w:p>
      <w:pPr>
        <w:jc w:val="center"/>
        <w:rPr>
          <w:rStyle w:val="C3"/>
          <w:rFonts w:ascii="Courier New" w:hAnsi="Courier New"/>
          <w:sz w:val="24"/>
        </w:rPr>
      </w:pPr>
    </w:p>
    <w:p>
      <w:pPr>
        <w:rPr>
          <w:rStyle w:val="C3"/>
          <w:rFonts w:ascii="Courier New" w:hAnsi="Courier New"/>
          <w:sz w:val="24"/>
        </w:rPr>
      </w:pPr>
      <w:r>
        <w:rPr>
          <w:rStyle w:val="C3"/>
          <w:rFonts w:ascii="Courier New" w:hAnsi="Courier New"/>
          <w:sz w:val="24"/>
        </w:rPr>
        <w:t>Visto: La Ordenanza N 9235; y</w:t>
      </w:r>
    </w:p>
    <w:p>
      <w:pPr>
        <w:rPr>
          <w:rStyle w:val="C3"/>
          <w:rFonts w:ascii="Courier New" w:hAnsi="Courier New"/>
          <w:sz w:val="24"/>
        </w:rPr>
      </w:pPr>
    </w:p>
    <w:p>
      <w:pPr>
        <w:jc w:val="center"/>
        <w:rPr>
          <w:rStyle w:val="C3"/>
          <w:rFonts w:ascii="Courier New" w:hAnsi="Courier New"/>
          <w:b w:val="1"/>
          <w:sz w:val="24"/>
        </w:rPr>
      </w:pPr>
      <w:r>
        <w:rPr>
          <w:rStyle w:val="C3"/>
          <w:rFonts w:ascii="Courier New" w:hAnsi="Courier New"/>
          <w:b w:val="1"/>
          <w:sz w:val="24"/>
        </w:rPr>
        <w:t>C</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 xml:space="preserve"> </w:t>
      </w:r>
      <w:r>
        <w:rPr>
          <w:rStyle w:val="C3"/>
          <w:rFonts w:ascii="Courier New" w:hAnsi="Courier New"/>
          <w:b w:val="1"/>
          <w:sz w:val="24"/>
        </w:rPr>
        <w:t>N</w:t>
      </w:r>
      <w:r>
        <w:rPr>
          <w:rStyle w:val="C3"/>
          <w:rFonts w:ascii="Courier New" w:hAnsi="Courier New"/>
          <w:b w:val="1"/>
          <w:sz w:val="24"/>
        </w:rPr>
        <w:t xml:space="preserve"> </w:t>
      </w:r>
      <w:r>
        <w:rPr>
          <w:rStyle w:val="C3"/>
          <w:rFonts w:ascii="Courier New" w:hAnsi="Courier New"/>
          <w:b w:val="1"/>
          <w:sz w:val="24"/>
        </w:rPr>
        <w:t>S</w:t>
      </w:r>
      <w:r>
        <w:rPr>
          <w:rStyle w:val="C3"/>
          <w:rFonts w:ascii="Courier New" w:hAnsi="Courier New"/>
          <w:b w:val="1"/>
          <w:sz w:val="24"/>
        </w:rPr>
        <w:t xml:space="preserve"> </w:t>
      </w:r>
      <w:r>
        <w:rPr>
          <w:rStyle w:val="C3"/>
          <w:rFonts w:ascii="Courier New" w:hAnsi="Courier New"/>
          <w:b w:val="1"/>
          <w:sz w:val="24"/>
        </w:rPr>
        <w:t>I</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 xml:space="preserve"> </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 xml:space="preserve"> </w:t>
      </w:r>
      <w:r>
        <w:rPr>
          <w:rStyle w:val="C3"/>
          <w:rFonts w:ascii="Courier New" w:hAnsi="Courier New"/>
          <w:b w:val="1"/>
          <w:sz w:val="24"/>
        </w:rPr>
        <w:t>N</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 xml:space="preserve"> </w:t>
      </w:r>
      <w:r>
        <w:rPr>
          <w:rStyle w:val="C3"/>
          <w:rFonts w:ascii="Courier New" w:hAnsi="Courier New"/>
          <w:b w:val="1"/>
          <w:sz w:val="24"/>
        </w:rPr>
        <w:t>O</w:t>
      </w:r>
    </w:p>
    <w:p>
      <w:pPr>
        <w:jc w:val="both"/>
        <w:rPr>
          <w:rStyle w:val="C3"/>
          <w:rFonts w:ascii="Courier New" w:hAnsi="Courier New"/>
          <w:sz w:val="24"/>
        </w:rPr>
      </w:pPr>
    </w:p>
    <w:p>
      <w:pPr>
        <w:ind w:left="567"/>
        <w:jc w:val="both"/>
        <w:rPr>
          <w:rStyle w:val="C3"/>
          <w:rFonts w:ascii="Courier New" w:hAnsi="Courier New"/>
          <w:sz w:val="24"/>
        </w:rPr>
      </w:pPr>
      <w:r>
        <w:rPr>
          <w:rStyle w:val="C3"/>
          <w:rFonts w:ascii="Courier New" w:hAnsi="Courier New"/>
          <w:sz w:val="24"/>
        </w:rPr>
        <w:t xml:space="preserve">Que la mencionada ordenanza autoriza al Departamento Ejecutivo a implementar un régimen de tarifas y aranceles para los museos de la ciudad; </w:t>
      </w:r>
    </w:p>
    <w:p>
      <w:pPr>
        <w:ind w:left="567"/>
        <w:jc w:val="both"/>
        <w:rPr>
          <w:rStyle w:val="C3"/>
          <w:rFonts w:ascii="Courier New" w:hAnsi="Courier New"/>
          <w:sz w:val="24"/>
        </w:rPr>
      </w:pPr>
      <w:r>
        <w:rPr>
          <w:rStyle w:val="C3"/>
          <w:rFonts w:ascii="Courier New" w:hAnsi="Courier New"/>
          <w:sz w:val="24"/>
        </w:rPr>
        <w:t>Que ese régimen comprende los derechos a abonar por el público concurrente en concepto de ingreso, como así también por la venta de determinados elementos;</w:t>
      </w:r>
    </w:p>
    <w:p>
      <w:pPr>
        <w:ind w:left="567"/>
        <w:jc w:val="both"/>
        <w:rPr>
          <w:rStyle w:val="C3"/>
          <w:rFonts w:ascii="Courier New" w:hAnsi="Courier New"/>
          <w:sz w:val="24"/>
        </w:rPr>
      </w:pPr>
      <w:r>
        <w:rPr>
          <w:rStyle w:val="C3"/>
          <w:rFonts w:ascii="Courier New" w:hAnsi="Courier New"/>
          <w:sz w:val="24"/>
        </w:rPr>
        <w:t>Que el art. 4 de la Ordenanza 9235 establece los elementos que pueden ser comercializados en los museos de propiedad o tenencia municipal;</w:t>
      </w:r>
    </w:p>
    <w:p>
      <w:pPr>
        <w:ind w:left="567"/>
        <w:jc w:val="both"/>
        <w:rPr>
          <w:rStyle w:val="C3"/>
          <w:rFonts w:ascii="Courier New" w:hAnsi="Courier New"/>
          <w:sz w:val="24"/>
        </w:rPr>
      </w:pPr>
      <w:r>
        <w:rPr>
          <w:rStyle w:val="C3"/>
          <w:rFonts w:ascii="Courier New" w:hAnsi="Courier New"/>
          <w:sz w:val="24"/>
        </w:rPr>
        <w:t xml:space="preserve">Que en el pago de ingreso a los museos quedan exentos  los habitantes de Alta Gracia:</w:t>
      </w:r>
    </w:p>
    <w:p>
      <w:pPr>
        <w:ind w:left="567"/>
        <w:jc w:val="both"/>
        <w:rPr>
          <w:rStyle w:val="C3"/>
          <w:rFonts w:ascii="Courier New" w:hAnsi="Courier New"/>
          <w:sz w:val="24"/>
        </w:rPr>
      </w:pPr>
      <w:r>
        <w:rPr>
          <w:rStyle w:val="C3"/>
          <w:rFonts w:ascii="Courier New" w:hAnsi="Courier New"/>
          <w:sz w:val="24"/>
        </w:rPr>
        <w:t>Que con respecto a la tarifa de ingreso, esta administración considera oportuno favorecer a los vecinos del Departamento Santa María con el fin de lograr una integración cultural y promover que nuestros vecinos del departamento también concurran, conozcan y difundan nuestras bellezas museológicas;</w:t>
      </w:r>
    </w:p>
    <w:p>
      <w:pPr>
        <w:ind w:left="567"/>
        <w:jc w:val="both"/>
        <w:rPr>
          <w:rStyle w:val="C3"/>
          <w:rFonts w:ascii="Courier New" w:hAnsi="Courier New"/>
          <w:sz w:val="24"/>
        </w:rPr>
      </w:pPr>
      <w:r>
        <w:rPr>
          <w:rStyle w:val="C3"/>
          <w:rFonts w:ascii="Courier New" w:hAnsi="Courier New"/>
          <w:sz w:val="24"/>
        </w:rPr>
        <w:t>Que, con respecto a los elementos que se pueden vender en los museos, se cree conveniente poder brindar mayores y mejores servicios a los turistas, por lo que es necesario poder ofrecerles bebidas o alimentos a modo de refrigerios;</w:t>
      </w:r>
    </w:p>
    <w:p>
      <w:pPr>
        <w:ind w:left="567"/>
        <w:jc w:val="both"/>
        <w:rPr>
          <w:rStyle w:val="C3"/>
          <w:rFonts w:ascii="Courier New" w:hAnsi="Courier New"/>
          <w:sz w:val="24"/>
        </w:rPr>
      </w:pPr>
      <w:r>
        <w:rPr>
          <w:rStyle w:val="C3"/>
          <w:rFonts w:ascii="Courier New" w:hAnsi="Courier New"/>
          <w:sz w:val="24"/>
        </w:rPr>
        <w:t xml:space="preserve">Que en función de lo expuesto es necesario modificar la Ordenanza 9235 para ampliar sus alcances. </w:t>
      </w:r>
    </w:p>
    <w:p>
      <w:pPr>
        <w:ind w:left="567"/>
        <w:jc w:val="right"/>
        <w:rPr>
          <w:rStyle w:val="C3"/>
          <w:rFonts w:ascii="Courier New" w:hAnsi="Courier New"/>
          <w:sz w:val="24"/>
        </w:rPr>
      </w:pPr>
      <w:r>
        <w:rPr>
          <w:rStyle w:val="C3"/>
          <w:rFonts w:ascii="Courier New" w:hAnsi="Courier New"/>
          <w:sz w:val="24"/>
        </w:rPr>
        <w:t>...///</w:t>
      </w:r>
    </w:p>
    <w:p>
      <w:pPr>
        <w:ind w:left="567"/>
        <w:jc w:val="right"/>
        <w:rPr>
          <w:rStyle w:val="C3"/>
          <w:rFonts w:ascii="Courier New" w:hAnsi="Courier New"/>
          <w:sz w:val="24"/>
        </w:rPr>
      </w:pPr>
    </w:p>
    <w:p>
      <w:pPr>
        <w:ind w:left="567"/>
        <w:jc w:val="both"/>
        <w:rPr>
          <w:rStyle w:val="C3"/>
          <w:rFonts w:ascii="Courier New" w:hAnsi="Courier New"/>
          <w:sz w:val="24"/>
        </w:rPr>
      </w:pPr>
    </w:p>
    <w:p>
      <w:pPr>
        <w:jc w:val="both"/>
        <w:rPr>
          <w:rStyle w:val="C3"/>
          <w:rFonts w:ascii="Courier New" w:hAnsi="Courier New"/>
          <w:sz w:val="24"/>
        </w:rPr>
      </w:pPr>
    </w:p>
    <w:p>
      <w:pPr>
        <w:ind w:hanging="567" w:left="567"/>
        <w:rPr>
          <w:rStyle w:val="C3"/>
          <w:rFonts w:ascii="Courier New" w:hAnsi="Courier New"/>
          <w:sz w:val="24"/>
        </w:rPr>
      </w:pPr>
      <w:r>
        <w:rPr>
          <w:rStyle w:val="C3"/>
          <w:rFonts w:ascii="Courier New" w:hAnsi="Courier New"/>
          <w:sz w:val="24"/>
        </w:rPr>
        <w:t>...///2.-</w:t>
      </w:r>
    </w:p>
    <w:p>
      <w:pPr>
        <w:ind w:left="567"/>
        <w:jc w:val="both"/>
        <w:rPr>
          <w:rStyle w:val="C3"/>
          <w:rFonts w:ascii="Courier New" w:hAnsi="Courier New"/>
          <w:sz w:val="24"/>
        </w:rPr>
      </w:pPr>
    </w:p>
    <w:p>
      <w:pPr>
        <w:ind w:left="426"/>
        <w:jc w:val="both"/>
        <w:rPr>
          <w:rStyle w:val="C3"/>
          <w:rFonts w:ascii="Courier New" w:hAnsi="Courier New"/>
          <w:sz w:val="24"/>
        </w:rPr>
      </w:pPr>
      <w:r>
        <w:rPr>
          <w:rStyle w:val="C3"/>
          <w:rFonts w:ascii="Courier New" w:hAnsi="Courier New"/>
          <w:sz w:val="24"/>
        </w:rPr>
        <w:t>Que analizando el Proyecto de Ordenanza por el Concejo en Comisión se emiten distintos despachos aprobándose por mayoría, en Sesión Extraordinaria de fecha 30 de enero de 2012, el despacho que sugiere la aprobación del Proyecto de Ordenanza del Departamento Ejecutivo.</w:t>
      </w:r>
    </w:p>
    <w:p>
      <w:pPr>
        <w:ind w:left="567"/>
        <w:jc w:val="center"/>
        <w:rPr>
          <w:rStyle w:val="C3"/>
          <w:rFonts w:ascii="Courier New" w:hAnsi="Courier New"/>
          <w:b w:val="1"/>
          <w:sz w:val="24"/>
        </w:rPr>
      </w:pPr>
    </w:p>
    <w:p>
      <w:pPr>
        <w:ind w:left="567"/>
        <w:jc w:val="center"/>
        <w:rPr>
          <w:rStyle w:val="C3"/>
          <w:rFonts w:ascii="Courier New" w:hAnsi="Courier New"/>
          <w:b w:val="1"/>
          <w:sz w:val="24"/>
        </w:rPr>
      </w:pPr>
      <w:r>
        <w:rPr>
          <w:rStyle w:val="C3"/>
          <w:rFonts w:ascii="Courier New" w:hAnsi="Courier New"/>
          <w:b w:val="1"/>
          <w:sz w:val="24"/>
        </w:rPr>
        <w:t>EL HONORABLE CONCEJO DELIBERAN</w:t>
      </w:r>
      <w:r>
        <w:rPr>
          <w:rStyle w:val="C3"/>
          <w:rFonts w:ascii="Courier New" w:hAnsi="Courier New"/>
          <w:b w:val="1"/>
          <w:sz w:val="24"/>
        </w:rPr>
        <w:t>TE</w:t>
      </w:r>
      <w:r>
        <w:rPr>
          <w:rStyle w:val="C3"/>
          <w:rFonts w:ascii="Courier New" w:hAnsi="Courier New"/>
          <w:b w:val="1"/>
          <w:sz w:val="24"/>
        </w:rPr>
        <w:t xml:space="preserve"> DE LA CIUDAD DE</w:t>
      </w:r>
    </w:p>
    <w:p>
      <w:pPr>
        <w:ind w:left="567"/>
        <w:jc w:val="center"/>
        <w:rPr>
          <w:rStyle w:val="C3"/>
          <w:rFonts w:ascii="Courier New" w:hAnsi="Courier New"/>
          <w:b w:val="1"/>
          <w:sz w:val="24"/>
        </w:rPr>
      </w:pPr>
      <w:r>
        <w:rPr>
          <w:rStyle w:val="C3"/>
          <w:rFonts w:ascii="Courier New" w:hAnsi="Courier New"/>
          <w:b w:val="1"/>
          <w:sz w:val="24"/>
        </w:rPr>
        <w:t xml:space="preserve">ALTA GRACIA </w:t>
      </w:r>
      <w:r>
        <w:rPr>
          <w:rStyle w:val="C3"/>
          <w:rFonts w:ascii="Courier New" w:hAnsi="Courier New"/>
          <w:b w:val="1"/>
          <w:sz w:val="24"/>
        </w:rPr>
        <w:t xml:space="preserve">SANCIONA CON FUERZA DE </w:t>
      </w:r>
      <w:r>
        <w:rPr>
          <w:rStyle w:val="C3"/>
          <w:rFonts w:ascii="Courier New" w:hAnsi="Courier New"/>
          <w:b w:val="1"/>
          <w:sz w:val="24"/>
        </w:rPr>
        <w:t>ORDENANZA</w:t>
      </w:r>
    </w:p>
    <w:p>
      <w:pPr>
        <w:ind w:left="567"/>
        <w:jc w:val="center"/>
        <w:rPr>
          <w:rStyle w:val="C3"/>
          <w:rFonts w:ascii="Courier New" w:hAnsi="Courier New"/>
          <w:b w:val="1"/>
          <w:sz w:val="24"/>
        </w:rPr>
      </w:pPr>
    </w:p>
    <w:p>
      <w:pPr>
        <w:ind w:hanging="426" w:left="426"/>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w:t>
      </w:r>
      <w:r>
        <w:rPr>
          <w:rStyle w:val="C3"/>
          <w:rFonts w:ascii="Courier New" w:hAnsi="Courier New"/>
          <w:b w:val="1"/>
          <w:sz w:val="24"/>
          <w:u w:val="single"/>
        </w:rPr>
        <w:t>1</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MODIFICASE</w:t>
      </w:r>
      <w:r>
        <w:rPr>
          <w:rStyle w:val="C3"/>
          <w:rFonts w:ascii="Courier New" w:hAnsi="Courier New"/>
          <w:sz w:val="24"/>
        </w:rPr>
        <w:t xml:space="preserve"> el art. 4 de la Ordenanza Nº 9235 el que quedará redactado de la siguiente manera: “ Art.4 : En los museos alcanzados por esta ordenanza se podrá realizar la venta de fotografías, grabaciones sobre los soportes que posibiliten el desarrollo de la tecnología, catálogos, tarjetas, publicaciones, replicas, objetos recordatorios de los museos municipales y de aquellos que siendo  de otra jurisdicción se domicilien en la ciudad de Alta Gracia, o se encuentren vinculados a los que es la temática del museo que se trate. También podrá realizarse la venta de bebidas o alimentos que sirvan para brindar un mejor servicio al visitante.”</w:t>
      </w:r>
    </w:p>
    <w:p>
      <w:pPr>
        <w:ind w:hanging="426" w:left="426"/>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w:t>
      </w:r>
      <w:r>
        <w:rPr>
          <w:rStyle w:val="C3"/>
          <w:rFonts w:ascii="Courier New" w:hAnsi="Courier New"/>
          <w:b w:val="1"/>
          <w:sz w:val="24"/>
          <w:u w:val="single"/>
        </w:rPr>
        <w:t>2</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MODIFICASE</w:t>
      </w:r>
      <w:r>
        <w:rPr>
          <w:rStyle w:val="C3"/>
          <w:rFonts w:ascii="Courier New" w:hAnsi="Courier New"/>
          <w:sz w:val="24"/>
        </w:rPr>
        <w:t xml:space="preserve"> el art. 5 de la Ordenanza 9235 el que quedara redactado de la siguiente manera: “Art. 5.: En el cuadro tarifario de cada museo se deberán contemplar distintas categorías básicas: a) Habitantes de la ciudad de Alta Gracia y del Departamento Santa María; b) Argentinos; c) Extranjeros.”</w:t>
      </w:r>
    </w:p>
    <w:p>
      <w:pPr>
        <w:ind w:hanging="426" w:left="426"/>
        <w:jc w:val="right"/>
        <w:rPr>
          <w:rStyle w:val="C3"/>
          <w:rFonts w:ascii="Courier New" w:hAnsi="Courier New"/>
          <w:sz w:val="24"/>
        </w:rPr>
      </w:pPr>
      <w:r>
        <w:rPr>
          <w:rStyle w:val="C3"/>
          <w:rFonts w:ascii="Courier New" w:hAnsi="Courier New"/>
          <w:sz w:val="24"/>
        </w:rPr>
        <w:t>...///</w:t>
      </w:r>
    </w:p>
    <w:p>
      <w:pPr>
        <w:ind w:hanging="426" w:left="426"/>
        <w:jc w:val="both"/>
        <w:rPr>
          <w:rStyle w:val="C3"/>
          <w:rFonts w:ascii="Courier New" w:hAnsi="Courier New"/>
          <w:b w:val="1"/>
          <w:sz w:val="24"/>
          <w:u w:val="single"/>
        </w:rPr>
      </w:pPr>
    </w:p>
    <w:p>
      <w:pPr>
        <w:ind w:hanging="426" w:left="426"/>
        <w:jc w:val="both"/>
        <w:rPr>
          <w:rStyle w:val="C3"/>
          <w:rFonts w:ascii="Courier New" w:hAnsi="Courier New"/>
          <w:b w:val="1"/>
          <w:sz w:val="24"/>
          <w:u w:val="single"/>
        </w:rPr>
      </w:pPr>
    </w:p>
    <w:p>
      <w:pPr>
        <w:ind w:hanging="426" w:left="426"/>
        <w:jc w:val="both"/>
        <w:rPr>
          <w:rStyle w:val="C3"/>
          <w:rFonts w:ascii="Courier New" w:hAnsi="Courier New"/>
          <w:b w:val="1"/>
          <w:sz w:val="24"/>
          <w:u w:val="single"/>
        </w:rPr>
      </w:pPr>
    </w:p>
    <w:p>
      <w:pPr>
        <w:ind w:hanging="426" w:left="426"/>
        <w:jc w:val="both"/>
        <w:rPr>
          <w:rStyle w:val="C3"/>
          <w:rFonts w:ascii="Courier New" w:hAnsi="Courier New"/>
          <w:b w:val="1"/>
          <w:sz w:val="24"/>
          <w:u w:val="single"/>
        </w:rPr>
      </w:pPr>
    </w:p>
    <w:p>
      <w:pPr>
        <w:ind w:hanging="426" w:left="426"/>
        <w:jc w:val="both"/>
        <w:rPr>
          <w:rStyle w:val="C3"/>
          <w:rFonts w:ascii="Courier New" w:hAnsi="Courier New"/>
          <w:b w:val="1"/>
          <w:sz w:val="24"/>
          <w:u w:val="single"/>
        </w:rPr>
      </w:pPr>
    </w:p>
    <w:p>
      <w:pPr>
        <w:ind w:hanging="426" w:left="426"/>
        <w:jc w:val="both"/>
        <w:rPr>
          <w:rStyle w:val="C3"/>
          <w:rFonts w:ascii="Courier New" w:hAnsi="Courier New"/>
          <w:sz w:val="24"/>
        </w:rPr>
      </w:pPr>
      <w:r>
        <w:rPr>
          <w:rStyle w:val="C3"/>
          <w:rFonts w:ascii="Courier New" w:hAnsi="Courier New"/>
          <w:sz w:val="24"/>
        </w:rPr>
        <w:t>...///3.-</w:t>
      </w:r>
    </w:p>
    <w:p>
      <w:pPr>
        <w:ind w:hanging="426" w:left="426"/>
        <w:jc w:val="both"/>
        <w:rPr>
          <w:rStyle w:val="C3"/>
          <w:rFonts w:ascii="Courier New" w:hAnsi="Courier New"/>
          <w:sz w:val="24"/>
        </w:rPr>
      </w:pPr>
    </w:p>
    <w:p>
      <w:pPr>
        <w:ind w:hanging="426" w:left="426"/>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w:t>
      </w:r>
      <w:r>
        <w:rPr>
          <w:rStyle w:val="C3"/>
          <w:rFonts w:ascii="Courier New" w:hAnsi="Courier New"/>
          <w:b w:val="1"/>
          <w:sz w:val="24"/>
          <w:u w:val="single"/>
        </w:rPr>
        <w:t>3</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MODIFICASE</w:t>
      </w:r>
      <w:r>
        <w:rPr>
          <w:rStyle w:val="C3"/>
          <w:rFonts w:ascii="Courier New" w:hAnsi="Courier New"/>
          <w:sz w:val="24"/>
        </w:rPr>
        <w:t xml:space="preserve"> el art. 6 de la Ordenanza 9235 el que quedará redactado de la siguiente manera: “Art. 6: Los vecinos de la ciudad de Alta Gracia y del Departamento Santa María estarán exentos del pago de las tarifas por ingreso a los museos municipales.”</w:t>
      </w:r>
    </w:p>
    <w:p>
      <w:pPr>
        <w:ind w:hanging="426" w:left="426"/>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w:t>
      </w:r>
      <w:r>
        <w:rPr>
          <w:rStyle w:val="C3"/>
          <w:rFonts w:ascii="Courier New" w:hAnsi="Courier New"/>
          <w:b w:val="1"/>
          <w:sz w:val="24"/>
          <w:u w:val="single"/>
        </w:rPr>
        <w:t>4</w:t>
      </w:r>
      <w:r>
        <w:rPr>
          <w:rStyle w:val="C3"/>
          <w:rFonts w:ascii="Courier New" w:hAnsi="Courier New"/>
          <w:sz w:val="24"/>
        </w:rPr>
        <w:t xml:space="preserve">: </w:t>
      </w:r>
      <w:r>
        <w:rPr>
          <w:rStyle w:val="C3"/>
          <w:rFonts w:ascii="Courier New" w:hAnsi="Courier New"/>
          <w:b w:val="1"/>
          <w:sz w:val="24"/>
        </w:rPr>
        <w:t>PROTOCOLÍCESE,</w:t>
      </w:r>
      <w:r>
        <w:rPr>
          <w:rStyle w:val="C3"/>
          <w:rFonts w:ascii="Courier New" w:hAnsi="Courier New"/>
          <w:sz w:val="24"/>
        </w:rPr>
        <w:t xml:space="preserve"> comuníquese, publíquese en el Boletín Oficial de la ciudad de Alta Gracia, incorpórese al Libro de Ordenanzas y archívese.-</w:t>
      </w:r>
    </w:p>
    <w:p>
      <w:pPr>
        <w:spacing w:lineRule="auto" w:line="240" w:after="0"/>
        <w:jc w:val="both"/>
        <w:rPr>
          <w:rStyle w:val="C3"/>
          <w:rFonts w:ascii="Courier New" w:hAnsi="Courier New"/>
          <w:b w:val="1"/>
          <w:sz w:val="24"/>
        </w:rPr>
      </w:pPr>
    </w:p>
    <w:p>
      <w:pPr>
        <w:spacing w:lineRule="auto" w:line="240" w:after="0"/>
        <w:jc w:val="both"/>
        <w:rPr>
          <w:rStyle w:val="C3"/>
          <w:rFonts w:ascii="Courier New" w:hAnsi="Courier New"/>
          <w:b w:val="1"/>
          <w:sz w:val="24"/>
        </w:rPr>
      </w:pPr>
    </w:p>
    <w:p>
      <w:pPr>
        <w:spacing w:lineRule="auto" w:line="240" w:after="0"/>
        <w:jc w:val="both"/>
        <w:rPr>
          <w:rStyle w:val="C3"/>
          <w:rFonts w:ascii="Courier New" w:hAnsi="Courier New"/>
          <w:b w:val="1"/>
          <w:sz w:val="24"/>
        </w:rPr>
      </w:pPr>
      <w:r>
        <w:rPr>
          <w:rStyle w:val="C3"/>
          <w:rFonts w:ascii="Courier New" w:hAnsi="Courier New"/>
          <w:b w:val="1"/>
          <w:sz w:val="24"/>
        </w:rPr>
        <w:t>DADA EN LA SALA DE SESIONES DEL HONORABLE CONCEJO DELIBERANTE A LOS TR</w:t>
      </w:r>
      <w:r>
        <w:rPr>
          <w:rStyle w:val="C3"/>
          <w:rFonts w:ascii="Courier New" w:hAnsi="Courier New"/>
          <w:b w:val="1"/>
          <w:sz w:val="24"/>
        </w:rPr>
        <w:t>EINTA</w:t>
      </w:r>
      <w:r>
        <w:rPr>
          <w:rStyle w:val="C3"/>
          <w:rFonts w:ascii="Courier New" w:hAnsi="Courier New"/>
          <w:b w:val="1"/>
          <w:sz w:val="24"/>
        </w:rPr>
        <w:t xml:space="preserve"> DÍAS DEL MES DE </w:t>
      </w:r>
      <w:r>
        <w:rPr>
          <w:rStyle w:val="C3"/>
          <w:rFonts w:ascii="Courier New" w:hAnsi="Courier New"/>
          <w:b w:val="1"/>
          <w:sz w:val="24"/>
        </w:rPr>
        <w:t>ENERO</w:t>
      </w:r>
      <w:r>
        <w:rPr>
          <w:rStyle w:val="C3"/>
          <w:rFonts w:ascii="Courier New" w:hAnsi="Courier New"/>
          <w:b w:val="1"/>
          <w:sz w:val="24"/>
        </w:rPr>
        <w:t xml:space="preserve"> DEL AÑO DOS MIL </w:t>
      </w:r>
      <w:r>
        <w:rPr>
          <w:rStyle w:val="C3"/>
          <w:rFonts w:ascii="Courier New" w:hAnsi="Courier New"/>
          <w:b w:val="1"/>
          <w:sz w:val="24"/>
        </w:rPr>
        <w:t>DO</w:t>
      </w:r>
      <w:r>
        <w:rPr>
          <w:rStyle w:val="C3"/>
          <w:rFonts w:ascii="Courier New" w:hAnsi="Courier New"/>
          <w:b w:val="1"/>
          <w:sz w:val="24"/>
        </w:rPr>
        <w:t xml:space="preserve">CE.- </w:t>
      </w:r>
    </w:p>
    <w:p>
      <w:pPr>
        <w:ind w:hanging="709" w:left="709"/>
        <w:jc w:val="both"/>
        <w:rPr>
          <w:rStyle w:val="C3"/>
          <w:rFonts w:ascii="Courier New" w:hAnsi="Courier New"/>
          <w:sz w:val="24"/>
        </w:rPr>
      </w:pPr>
    </w:p>
    <w:sectPr>
      <w:type w:val="nextPage"/>
      <w:pgSz w:w="11906" w:h="16838" w:code="0"/>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spacing w:lineRule="auto" w:line="276" w:after="200"/>
    </w:pPr>
    <w:rPr>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qFormat/>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gabriel</dc:creator>
  <dcterms:created xsi:type="dcterms:W3CDTF">2012-01-31T13:18:00Z</dcterms:created>
  <cp:lastModifiedBy>Ethan Puglia</cp:lastModifiedBy>
  <cp:lastPrinted>2012-01-25T14:16:00Z</cp:lastPrinted>
  <dcterms:modified xsi:type="dcterms:W3CDTF">2019-03-28T17:33:01Z</dcterms:modified>
  <cp:revision>7</cp:revision>
</cp:coreProperties>
</file>