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EBC7F76" Type="http://schemas.openxmlformats.org/officeDocument/2006/relationships/officeDocument" Target="/word/document.xml" /><Relationship Id="coreR3EBC7F7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ORENANZA Nº 9242</w:t>
      </w:r>
    </w:p>
    <w:p/>
    <w:p/>
    <w:p>
      <w:pPr>
        <w:ind w:hanging="426" w:left="426"/>
        <w:jc w:val="both"/>
        <w:rPr>
          <w:rStyle w:val="C3"/>
          <w:rFonts w:ascii="Courier New" w:hAnsi="Courier New"/>
        </w:rPr>
      </w:pPr>
      <w:r>
        <w:rPr>
          <w:rStyle w:val="C3"/>
          <w:rFonts w:ascii="Courier New" w:hAnsi="Courier New"/>
        </w:rPr>
        <w:t>Visto: Las distintas situaciones planteadas en nuestra Ciudad por los edificios en altura y sus correspondientes habilitaciones;</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la Ciudad  de Alta Gracia posee como atributo natural un valor histórico patrimonial que la distingue de todas las demás urbanizaciones de la provincia y del país;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tal es su trascendencia, que la UNESCO en el año 2000, declaro a la Estancia Jesuítica enclavada en nuestra Ciudad patrimonio de la humanidad;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debemos controlar y supervisar el crecimiento urbanístico y edilicio de nuestra Ciudad para que el desarrollo de la misma se corresponda con el valor patrimonial y relevancia histórico-cultural que Alta Gracia posee;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 deber del gobierno Municipal evitar que el progreso de negocios inmobiliarios afecten  un derecho de mayor jerarquía que es la calidad de vida de vecinos y el acervo histórico en un adecuado concierto urbano;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un edificio en altura con una gran cantidad de unidades habitacionales genera un punto de concentración importante de requerimientos de servicios e infraestructura como aspectos relacionados con el tránsito, infraestructura de agua potable, energía eléctrica y evacuación de residuos cloacales;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toda esta infraestructura deberá ser  evaluada oportunamente para poder soportar la carga solicitada por la prestación de estos servicios sin generar conflictos a viviendas del sector;</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teniendo en cuenta el modelo de Ciudad que queremos plasmar, es necesario y conveniente planificar estratégicamente el desarrollo urbanístico de Alta Gracia y por ello resulta imprescindible verificar y revisar todas las autorizaciones otorgadas por administraciones anteriores que al día de la fecha no tengan comienzo de obra ejecutado;</w:t>
      </w:r>
    </w:p>
    <w:p>
      <w:pPr>
        <w:ind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analizando el Proyecto de Ordenanza por el Concejo en Comisión se emiten distintos despachos aprobándose por mayoría, en Sesión Extraordinaria de fecha 30 de enero de 2012, el despacho que sugiere la aprobación del Proyecto de Ordenanza del Departamento Ejecutivo.</w:t>
      </w:r>
    </w:p>
    <w:p>
      <w:pPr>
        <w:jc w:val="both"/>
        <w:rPr>
          <w:rStyle w:val="C3"/>
          <w:rFonts w:ascii="Courier New" w:hAnsi="Courier New"/>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SUSPÉ</w:t>
      </w:r>
      <w:r>
        <w:rPr>
          <w:rStyle w:val="C3"/>
          <w:rFonts w:ascii="Courier New" w:hAnsi="Courier New"/>
          <w:b w:val="1"/>
        </w:rPr>
        <w:t>NDANSE</w:t>
      </w:r>
      <w:r>
        <w:rPr>
          <w:rStyle w:val="C3"/>
          <w:rFonts w:ascii="Courier New" w:hAnsi="Courier New"/>
          <w:b w:val="1"/>
        </w:rPr>
        <w:t xml:space="preserve"> </w:t>
      </w:r>
      <w:r>
        <w:rPr>
          <w:rStyle w:val="C3"/>
          <w:rFonts w:ascii="Courier New" w:hAnsi="Courier New"/>
        </w:rPr>
        <w:t>el otorgamiento de autorizaciones, en todo el ejido Municipal,</w:t>
      </w:r>
      <w:r>
        <w:rPr>
          <w:rStyle w:val="C3"/>
          <w:rFonts w:ascii="Courier New" w:hAnsi="Courier New"/>
          <w:b w:val="1"/>
        </w:rPr>
        <w:t xml:space="preserve"> </w:t>
      </w:r>
      <w:r>
        <w:rPr>
          <w:rStyle w:val="C3"/>
          <w:rFonts w:ascii="Courier New" w:hAnsi="Courier New"/>
        </w:rPr>
        <w:t xml:space="preserve">para la construcción de edificios en altura que excedan los once metros (11 m) con respecto al cordón de vereda o  tres pisos más módulo para tanque de agua, por el término de un año a partir de la promulgación de la presente, para que la situación sea evaluada y controlada por las áreas técnicas competentes en la materia.</w:t>
      </w:r>
    </w:p>
    <w:p>
      <w:pPr>
        <w:ind w:hanging="426" w:left="426"/>
        <w:jc w:val="both"/>
        <w:rPr>
          <w:rStyle w:val="C3"/>
          <w:rFonts w:ascii="Courier New" w:hAnsi="Courier New"/>
        </w:rPr>
      </w:pPr>
    </w:p>
    <w:p>
      <w:pPr>
        <w:jc w:val="both"/>
        <w:rPr>
          <w:rStyle w:val="C3"/>
          <w:rFonts w:ascii="Courier New" w:hAnsi="Courier New"/>
          <w:i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SUSP</w:t>
      </w:r>
      <w:r>
        <w:rPr>
          <w:rStyle w:val="C3"/>
          <w:rFonts w:ascii="Courier New" w:hAnsi="Courier New"/>
          <w:b w:val="1"/>
        </w:rPr>
        <w:t>É</w:t>
      </w:r>
      <w:r>
        <w:rPr>
          <w:rStyle w:val="C3"/>
          <w:rFonts w:ascii="Courier New" w:hAnsi="Courier New"/>
          <w:b w:val="1"/>
        </w:rPr>
        <w:t>NDANSE</w:t>
      </w:r>
      <w:r>
        <w:rPr>
          <w:rStyle w:val="C3"/>
          <w:rFonts w:ascii="Courier New" w:hAnsi="Courier New"/>
          <w:b w:val="1"/>
        </w:rPr>
        <w:t xml:space="preserve"> </w:t>
      </w:r>
      <w:r>
        <w:rPr>
          <w:rStyle w:val="C3"/>
          <w:rFonts w:ascii="Courier New" w:hAnsi="Courier New"/>
        </w:rPr>
        <w:t>por el término de un año desde la promulgación de la presente,</w:t>
      </w:r>
      <w:r>
        <w:rPr>
          <w:rStyle w:val="C3"/>
          <w:rFonts w:ascii="Courier New" w:hAnsi="Courier New"/>
          <w:b w:val="1"/>
        </w:rPr>
        <w:t xml:space="preserve"> </w:t>
      </w:r>
      <w:r>
        <w:rPr>
          <w:rStyle w:val="C3"/>
          <w:rFonts w:ascii="Courier New" w:hAnsi="Courier New"/>
        </w:rPr>
        <w:t xml:space="preserve">todos los artículos de la Ordenanza 8548 (Código de Edificación) y la Ordenanza 8547 (Plan de Ordenamiento Urbano), que se opongan a la presente. </w:t>
      </w:r>
    </w:p>
    <w:p>
      <w:pPr>
        <w:ind w:hanging="426" w:left="426"/>
        <w:jc w:val="both"/>
        <w:rPr>
          <w:rStyle w:val="C3"/>
          <w:rFonts w:ascii="Courier New" w:hAnsi="Courier New"/>
        </w:rPr>
      </w:pPr>
    </w:p>
    <w:p>
      <w:pPr>
        <w:pStyle w:val="P11"/>
        <w:ind w:hanging="426" w:left="426"/>
      </w:pPr>
      <w:r>
        <w:rPr>
          <w:rStyle w:val="C3"/>
          <w:b w:val="1"/>
          <w:u w:val="single"/>
        </w:rPr>
        <w:t>Art.</w:t>
      </w:r>
      <w:r>
        <w:rPr>
          <w:rStyle w:val="C3"/>
          <w:b w:val="1"/>
          <w:u w:val="single"/>
        </w:rPr>
        <w:t>3:</w:t>
      </w:r>
      <w:r>
        <w:rPr>
          <w:rStyle w:val="C3"/>
          <w:b w:val="1"/>
        </w:rPr>
        <w:t xml:space="preserve"> </w:t>
      </w:r>
      <w:r>
        <w:rPr>
          <w:rStyle w:val="C3"/>
          <w:b w:val="1"/>
        </w:rPr>
        <w:t>PROTOCOLÍCESE,</w:t>
      </w:r>
      <w:r>
        <w:t xml:space="preserve"> comuníquese, publíquese en el Boletín Oficial de la ciudad de Alta Gracia, incorpórese al Libro de Ordenanzas y archívese.</w:t>
      </w:r>
    </w:p>
    <w:p>
      <w:pPr>
        <w:ind w:hanging="426" w:left="426"/>
        <w:jc w:val="both"/>
        <w:rPr>
          <w:rStyle w:val="C3"/>
          <w:rFonts w:ascii="Courier New" w:hAnsi="Courier New"/>
        </w:rPr>
      </w:pP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TREINTA DÍAS DEL MES DE ENERO DEL AÑO DOS MIL DOCE.-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B78783E">
      <w:start w:val="0"/>
      <w:numFmt w:val="bullet"/>
      <w:suff w:val="tab"/>
      <w:lvlText w:val=""/>
      <w:lvlJc w:val="left"/>
      <w:pPr>
        <w:ind w:hanging="360" w:left="927"/>
      </w:pPr>
      <w:rPr>
        <w:rFonts w:ascii="Symbol" w:hAnsi="Symbol"/>
      </w:rPr>
    </w:lvl>
    <w:lvl w:ilvl="1" w:tplc="34044EDE">
      <w:start w:val="1"/>
      <w:numFmt w:val="bullet"/>
      <w:suff w:val="tab"/>
      <w:lvlText w:val="o"/>
      <w:lvlJc w:val="left"/>
      <w:pPr>
        <w:ind w:hanging="360" w:left="1647"/>
      </w:pPr>
      <w:rPr>
        <w:rFonts w:ascii="Courier New" w:hAnsi="Courier New"/>
      </w:rPr>
    </w:lvl>
    <w:lvl w:ilvl="2" w:tplc="5250052C">
      <w:start w:val="1"/>
      <w:numFmt w:val="bullet"/>
      <w:suff w:val="tab"/>
      <w:lvlText w:val=""/>
      <w:lvlJc w:val="left"/>
      <w:pPr>
        <w:ind w:hanging="360" w:left="2367"/>
      </w:pPr>
      <w:rPr>
        <w:rFonts w:ascii="Wingdings" w:hAnsi="Wingdings"/>
      </w:rPr>
    </w:lvl>
    <w:lvl w:ilvl="3" w:tplc="38F42EE0">
      <w:start w:val="1"/>
      <w:numFmt w:val="bullet"/>
      <w:suff w:val="tab"/>
      <w:lvlText w:val=""/>
      <w:lvlJc w:val="left"/>
      <w:pPr>
        <w:ind w:hanging="360" w:left="3087"/>
      </w:pPr>
      <w:rPr>
        <w:rFonts w:ascii="Symbol" w:hAnsi="Symbol"/>
      </w:rPr>
    </w:lvl>
    <w:lvl w:ilvl="4" w:tplc="377A2101">
      <w:start w:val="1"/>
      <w:numFmt w:val="bullet"/>
      <w:suff w:val="tab"/>
      <w:lvlText w:val="o"/>
      <w:lvlJc w:val="left"/>
      <w:pPr>
        <w:ind w:hanging="360" w:left="3807"/>
      </w:pPr>
      <w:rPr>
        <w:rFonts w:ascii="Courier New" w:hAnsi="Courier New"/>
      </w:rPr>
    </w:lvl>
    <w:lvl w:ilvl="5" w:tplc="42AC231F">
      <w:start w:val="1"/>
      <w:numFmt w:val="bullet"/>
      <w:suff w:val="tab"/>
      <w:lvlText w:val=""/>
      <w:lvlJc w:val="left"/>
      <w:pPr>
        <w:ind w:hanging="360" w:left="4527"/>
      </w:pPr>
      <w:rPr>
        <w:rFonts w:ascii="Wingdings" w:hAnsi="Wingdings"/>
      </w:rPr>
    </w:lvl>
    <w:lvl w:ilvl="6" w:tplc="11513F7A">
      <w:start w:val="1"/>
      <w:numFmt w:val="bullet"/>
      <w:suff w:val="tab"/>
      <w:lvlText w:val=""/>
      <w:lvlJc w:val="left"/>
      <w:pPr>
        <w:ind w:hanging="360" w:left="5247"/>
      </w:pPr>
      <w:rPr>
        <w:rFonts w:ascii="Symbol" w:hAnsi="Symbol"/>
      </w:rPr>
    </w:lvl>
    <w:lvl w:ilvl="7" w:tplc="67A78018">
      <w:start w:val="1"/>
      <w:numFmt w:val="bullet"/>
      <w:suff w:val="tab"/>
      <w:lvlText w:val="o"/>
      <w:lvlJc w:val="left"/>
      <w:pPr>
        <w:ind w:hanging="360" w:left="5967"/>
      </w:pPr>
      <w:rPr>
        <w:rFonts w:ascii="Courier New" w:hAnsi="Courier New"/>
      </w:rPr>
    </w:lvl>
    <w:lvl w:ilvl="8" w:tplc="7B541C6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FFA3FD0">
      <w:start w:val="0"/>
      <w:numFmt w:val="bullet"/>
      <w:suff w:val="tab"/>
      <w:lvlText w:val="-"/>
      <w:lvlJc w:val="left"/>
      <w:pPr>
        <w:ind w:hanging="360" w:left="720"/>
        <w:tabs>
          <w:tab w:val="left" w:pos="720" w:leader="none"/>
        </w:tabs>
      </w:pPr>
      <w:rPr>
        <w:rFonts w:ascii="Times New Roman" w:hAnsi="Times New Roman"/>
      </w:rPr>
    </w:lvl>
    <w:lvl w:ilvl="1" w:tplc="752A1D19">
      <w:start w:val="1"/>
      <w:numFmt w:val="bullet"/>
      <w:suff w:val="tab"/>
      <w:lvlText w:val="o"/>
      <w:lvlJc w:val="left"/>
      <w:pPr>
        <w:ind w:hanging="360" w:left="1440"/>
        <w:tabs>
          <w:tab w:val="left" w:pos="1440" w:leader="none"/>
        </w:tabs>
      </w:pPr>
      <w:rPr>
        <w:rFonts w:ascii="Courier New" w:hAnsi="Courier New"/>
      </w:rPr>
    </w:lvl>
    <w:lvl w:ilvl="2" w:tplc="190E9D08">
      <w:start w:val="1"/>
      <w:numFmt w:val="bullet"/>
      <w:suff w:val="tab"/>
      <w:lvlText w:val=""/>
      <w:lvlJc w:val="left"/>
      <w:pPr>
        <w:ind w:hanging="360" w:left="2160"/>
        <w:tabs>
          <w:tab w:val="left" w:pos="2160" w:leader="none"/>
        </w:tabs>
      </w:pPr>
      <w:rPr>
        <w:rFonts w:ascii="Wingdings" w:hAnsi="Wingdings"/>
      </w:rPr>
    </w:lvl>
    <w:lvl w:ilvl="3" w:tplc="53C27FEB">
      <w:start w:val="1"/>
      <w:numFmt w:val="bullet"/>
      <w:suff w:val="tab"/>
      <w:lvlText w:val=""/>
      <w:lvlJc w:val="left"/>
      <w:pPr>
        <w:ind w:hanging="360" w:left="2880"/>
        <w:tabs>
          <w:tab w:val="left" w:pos="2880" w:leader="none"/>
        </w:tabs>
      </w:pPr>
      <w:rPr>
        <w:rFonts w:ascii="Symbol" w:hAnsi="Symbol"/>
      </w:rPr>
    </w:lvl>
    <w:lvl w:ilvl="4" w:tplc="73548537">
      <w:start w:val="1"/>
      <w:numFmt w:val="bullet"/>
      <w:suff w:val="tab"/>
      <w:lvlText w:val="o"/>
      <w:lvlJc w:val="left"/>
      <w:pPr>
        <w:ind w:hanging="360" w:left="3600"/>
        <w:tabs>
          <w:tab w:val="left" w:pos="3600" w:leader="none"/>
        </w:tabs>
      </w:pPr>
      <w:rPr>
        <w:rFonts w:ascii="Courier New" w:hAnsi="Courier New"/>
      </w:rPr>
    </w:lvl>
    <w:lvl w:ilvl="5" w:tplc="7B81A38A">
      <w:start w:val="1"/>
      <w:numFmt w:val="bullet"/>
      <w:suff w:val="tab"/>
      <w:lvlText w:val=""/>
      <w:lvlJc w:val="left"/>
      <w:pPr>
        <w:ind w:hanging="360" w:left="4320"/>
        <w:tabs>
          <w:tab w:val="left" w:pos="4320" w:leader="none"/>
        </w:tabs>
      </w:pPr>
      <w:rPr>
        <w:rFonts w:ascii="Wingdings" w:hAnsi="Wingdings"/>
      </w:rPr>
    </w:lvl>
    <w:lvl w:ilvl="6" w:tplc="5FD2719D">
      <w:start w:val="1"/>
      <w:numFmt w:val="bullet"/>
      <w:suff w:val="tab"/>
      <w:lvlText w:val=""/>
      <w:lvlJc w:val="left"/>
      <w:pPr>
        <w:ind w:hanging="360" w:left="5040"/>
        <w:tabs>
          <w:tab w:val="left" w:pos="5040" w:leader="none"/>
        </w:tabs>
      </w:pPr>
      <w:rPr>
        <w:rFonts w:ascii="Symbol" w:hAnsi="Symbol"/>
      </w:rPr>
    </w:lvl>
    <w:lvl w:ilvl="7" w:tplc="31474FDA">
      <w:start w:val="1"/>
      <w:numFmt w:val="bullet"/>
      <w:suff w:val="tab"/>
      <w:lvlText w:val="o"/>
      <w:lvlJc w:val="left"/>
      <w:pPr>
        <w:ind w:hanging="360" w:left="5760"/>
        <w:tabs>
          <w:tab w:val="left" w:pos="5760" w:leader="none"/>
        </w:tabs>
      </w:pPr>
      <w:rPr>
        <w:rFonts w:ascii="Courier New" w:hAnsi="Courier New"/>
      </w:rPr>
    </w:lvl>
    <w:lvl w:ilvl="8" w:tplc="3DE7D85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D63F479">
      <w:start w:val="1"/>
      <w:numFmt w:val="bullet"/>
      <w:suff w:val="tab"/>
      <w:lvlText w:val=""/>
      <w:lvlJc w:val="left"/>
      <w:pPr>
        <w:ind w:hanging="360" w:left="720"/>
        <w:tabs>
          <w:tab w:val="left" w:pos="720" w:leader="none"/>
        </w:tabs>
      </w:pPr>
      <w:rPr>
        <w:rFonts w:ascii="Symbol" w:hAnsi="Symbol"/>
      </w:rPr>
    </w:lvl>
    <w:lvl w:ilvl="1" w:tplc="189CCA01">
      <w:start w:val="1"/>
      <w:numFmt w:val="bullet"/>
      <w:suff w:val="tab"/>
      <w:lvlText w:val="o"/>
      <w:lvlJc w:val="left"/>
      <w:pPr>
        <w:ind w:hanging="360" w:left="1440"/>
        <w:tabs>
          <w:tab w:val="left" w:pos="1440" w:leader="none"/>
        </w:tabs>
      </w:pPr>
      <w:rPr>
        <w:rFonts w:ascii="Courier New" w:hAnsi="Courier New"/>
      </w:rPr>
    </w:lvl>
    <w:lvl w:ilvl="2" w:tplc="6E12D1A2">
      <w:start w:val="1"/>
      <w:numFmt w:val="bullet"/>
      <w:suff w:val="tab"/>
      <w:lvlText w:val=""/>
      <w:lvlJc w:val="left"/>
      <w:pPr>
        <w:ind w:hanging="360" w:left="2160"/>
        <w:tabs>
          <w:tab w:val="left" w:pos="2160" w:leader="none"/>
        </w:tabs>
      </w:pPr>
      <w:rPr>
        <w:rFonts w:ascii="Wingdings" w:hAnsi="Wingdings"/>
      </w:rPr>
    </w:lvl>
    <w:lvl w:ilvl="3" w:tplc="605E1A82">
      <w:start w:val="1"/>
      <w:numFmt w:val="bullet"/>
      <w:suff w:val="tab"/>
      <w:lvlText w:val=""/>
      <w:lvlJc w:val="left"/>
      <w:pPr>
        <w:ind w:hanging="360" w:left="2880"/>
        <w:tabs>
          <w:tab w:val="left" w:pos="2880" w:leader="none"/>
        </w:tabs>
      </w:pPr>
      <w:rPr>
        <w:rFonts w:ascii="Symbol" w:hAnsi="Symbol"/>
      </w:rPr>
    </w:lvl>
    <w:lvl w:ilvl="4" w:tplc="4326BDD6">
      <w:start w:val="1"/>
      <w:numFmt w:val="bullet"/>
      <w:suff w:val="tab"/>
      <w:lvlText w:val="o"/>
      <w:lvlJc w:val="left"/>
      <w:pPr>
        <w:ind w:hanging="360" w:left="3600"/>
        <w:tabs>
          <w:tab w:val="left" w:pos="3600" w:leader="none"/>
        </w:tabs>
      </w:pPr>
      <w:rPr>
        <w:rFonts w:ascii="Courier New" w:hAnsi="Courier New"/>
      </w:rPr>
    </w:lvl>
    <w:lvl w:ilvl="5" w:tplc="46BB8E5D">
      <w:start w:val="1"/>
      <w:numFmt w:val="bullet"/>
      <w:suff w:val="tab"/>
      <w:lvlText w:val=""/>
      <w:lvlJc w:val="left"/>
      <w:pPr>
        <w:ind w:hanging="360" w:left="4320"/>
        <w:tabs>
          <w:tab w:val="left" w:pos="4320" w:leader="none"/>
        </w:tabs>
      </w:pPr>
      <w:rPr>
        <w:rFonts w:ascii="Wingdings" w:hAnsi="Wingdings"/>
      </w:rPr>
    </w:lvl>
    <w:lvl w:ilvl="6" w:tplc="4AD56CBB">
      <w:start w:val="1"/>
      <w:numFmt w:val="bullet"/>
      <w:suff w:val="tab"/>
      <w:lvlText w:val=""/>
      <w:lvlJc w:val="left"/>
      <w:pPr>
        <w:ind w:hanging="360" w:left="5040"/>
        <w:tabs>
          <w:tab w:val="left" w:pos="5040" w:leader="none"/>
        </w:tabs>
      </w:pPr>
      <w:rPr>
        <w:rFonts w:ascii="Symbol" w:hAnsi="Symbol"/>
      </w:rPr>
    </w:lvl>
    <w:lvl w:ilvl="7" w:tplc="1969EA23">
      <w:start w:val="1"/>
      <w:numFmt w:val="bullet"/>
      <w:suff w:val="tab"/>
      <w:lvlText w:val="o"/>
      <w:lvlJc w:val="left"/>
      <w:pPr>
        <w:ind w:hanging="360" w:left="5760"/>
        <w:tabs>
          <w:tab w:val="left" w:pos="5760" w:leader="none"/>
        </w:tabs>
      </w:pPr>
      <w:rPr>
        <w:rFonts w:ascii="Courier New" w:hAnsi="Courier New"/>
      </w:rPr>
    </w:lvl>
    <w:lvl w:ilvl="8" w:tplc="72DE5179">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287E8F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2012-01-31T13:19:00Z</dcterms:created>
  <cp:lastModifiedBy>Ethan Puglia</cp:lastModifiedBy>
  <cp:lastPrinted>2011-05-03T13:01:00Z</cp:lastPrinted>
  <dcterms:modified xsi:type="dcterms:W3CDTF">2019-03-28T17:33:01Z</dcterms:modified>
  <cp:revision>9</cp:revision>
  <dc:title>PROYECTO DE ORDENANZA VIOLENCIA FAMILIAR</dc:title>
</cp:coreProperties>
</file>