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76D7363" Type="http://schemas.openxmlformats.org/officeDocument/2006/relationships/officeDocument" Target="/word/document.xml" /><Relationship Id="coreR276D736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9266 </w:t>
      </w:r>
    </w:p>
    <w:p/>
    <w:p/>
    <w:p>
      <w:pPr>
        <w:ind w:hanging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869/11 iniciado por el Sr. Domínguez Héctor Ramón;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plan de pago acorde a sus posibilidades por la obra de pavimento;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asimismo, por no poder abonar las tasas, autoriza la exhumación, reducción y traslado a sepultura de los restos contenidos en las Identificaciones Nº 20741 y 20745; 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Nº 9107 se otorgó lo solicitado pero por un error de tipeo se consignó mal una identificación;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Dirección de Ingresos Públicos remite nuevamente el expediente a este Concejo para rectificar el Art. 1 de la Ordenanza Nº 9107;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11 de Abril de 2012.-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MODIFICASE </w:t>
      </w:r>
      <w:r>
        <w:rPr>
          <w:rStyle w:val="C3"/>
          <w:rFonts w:ascii="Courier New" w:hAnsi="Courier New"/>
        </w:rPr>
        <w:t>el Art. 1 de la Ordenanza Nº 9107 donde dice Identificación Nº 020471, debe decir Identificación Nº 020741.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851" w:left="851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PROTOCOLÍCESE, </w:t>
      </w:r>
      <w:r>
        <w:rPr>
          <w:rStyle w:val="C3"/>
          <w:rFonts w:ascii="Courier New" w:hAnsi="Courier New"/>
        </w:rPr>
        <w:t>comuníquese, publíquese en el Boletín Oficial de la ciudad de Alta Gracia, incorpórese al Libro de Ordenanzas y archívese.-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</w:pPr>
      <w:r>
        <w:t xml:space="preserve">DADA EN LA SALA DE SESIONES DEL HONORABLE CONCEJO DELIBERANTE A LOS ONCE DÍAS DEL MES ABRIL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367E8EA8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89E481C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3E16ED2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5B5FF70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25FB46F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DCA89FE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D41844A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1B76EB1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E2FF2A4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27EF61FA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3B6B58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896CDA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D0BC14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2382B7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113AE5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C75AB4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77B172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81BC90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7EED7E96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1E199A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12C40C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07FD03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C0E598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8A5C0D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1B6B2B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ED7918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0B7F91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7FFF8530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2012-04-12T10:54:00Z</dcterms:created>
  <cp:lastModifiedBy>Ethan Puglia</cp:lastModifiedBy>
  <cp:lastPrinted>2012-04-13T14:21:00Z</cp:lastPrinted>
  <dcterms:modified xsi:type="dcterms:W3CDTF">2019-03-28T17:33:02Z</dcterms:modified>
  <cp:revision>14</cp:revision>
  <dc:title>PROYECTO DE ORDENANZA VIOLENCIA FAMILIAR</dc:title>
</cp:coreProperties>
</file>