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otnotes.xml" ContentType="application/vnd.openxmlformats-officedocument.wordprocessingml.footnotes+xml"/>
  <Override PartName="/word/theme/theme1.xml" ContentType="application/vnd.openxmlformats-officedocument.theme+xml"/>
</Types>
</file>

<file path=_rels/.rels>&#65279;<?xml version="1.0" encoding="utf-8"?><Relationships xmlns="http://schemas.openxmlformats.org/package/2006/relationships"><Relationship Id="R341B057C" Type="http://schemas.openxmlformats.org/officeDocument/2006/relationships/officeDocument" Target="/word/document.xml" /><Relationship Id="coreR341B057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9271 </w:t>
      </w:r>
    </w:p>
    <w:p/>
    <w:p/>
    <w:p>
      <w:pPr>
        <w:ind w:hanging="426" w:left="426"/>
        <w:jc w:val="both"/>
        <w:rPr>
          <w:rStyle w:val="C3"/>
          <w:rFonts w:ascii="Courier New" w:hAnsi="Courier New"/>
        </w:rPr>
      </w:pPr>
      <w:r>
        <w:rPr>
          <w:rStyle w:val="C3"/>
          <w:rFonts w:ascii="Courier New" w:hAnsi="Courier New"/>
        </w:rPr>
        <w:t>Visto: La Convención del Niño de 1989, la Ley Nacional 26.061, la Ley Provincial 9.944 sobre los derechos de las niñas, niños y adolescentes; y</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spacing w:lineRule="auto" w:line="276"/>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 xml:space="preserve">Que en la reforma de la Constitución Nacional de 1.994 se incorporó con jerarquía constitucional la Convención de los Derechos de los Niños (Art. 75º inc. 22 CN). Son ejes de la misma la “Subjetividad de la Niñez” y el “Interés Superior del Niño”, que comprende el Derecho a ser escuchado y a opinar en los asuntos en que ven comprometidos sus intereses; </w:t>
      </w:r>
    </w:p>
    <w:p>
      <w:pPr>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 Ley Nacional Nº 26.061 establece en su artículo 1º como objeto la protección integral de los derechos de las niñas, niños y adolescentes que se encuentren en el territorio de la República Argentina, para garantizar el ejercicio y disfrute pleno, efectivo y permanente de aquellos reconocidos en el ordenamiento jurídico Nacional y en los Tratados Internacionales en los que la Nación sea parte;</w:t>
      </w:r>
    </w:p>
    <w:p>
      <w:pPr>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 Ley Nacional mencionada y la Ley Provincial 9.944 establecen, en su jurisdicción, el Sistema de Protección Integral de los Derechos de las Niñas, Niños y Adolescentes, que está conformado por todos aquellos organismos, entidades y servicios que diseñan, planifican, coordinan, orientan, ejecutan y supervisan las políticas públicas, de gestión estatal o privadas, en el ámbito nacional, provincial y municipal, destinados a la promoción, prevención, asistencia, protección, resguardo y restablecimiento de los Derechos de las niñas, niños y adolescentes, y establece los medios a través de los cuales se asegura el efectivo goce de sus derechos y garantías;</w:t>
      </w:r>
    </w:p>
    <w:p>
      <w:pPr>
        <w:ind w:left="426"/>
        <w:jc w:val="both"/>
        <w:rPr>
          <w:rStyle w:val="C3"/>
          <w:rFonts w:ascii="Courier New" w:hAnsi="Courier New"/>
        </w:rPr>
      </w:pP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jc w:val="both"/>
        <w:rPr>
          <w:rStyle w:val="C3"/>
          <w:rFonts w:ascii="Courier New" w:hAnsi="Courier New"/>
        </w:rPr>
      </w:pPr>
    </w:p>
    <w:p>
      <w:pPr>
        <w:ind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estipulan como pautas para elaborar políticas públicas de la niñez y adolescencia: Gestión asociada de los organismos de la sociedad civil, con capacitación y fiscalización permanente; promoción de redes intersectoriales locales; organismos para la defensa y protección de los Derechos de las Niñas, Niños y Adolescentes;</w:t>
      </w:r>
    </w:p>
    <w:p>
      <w:pPr>
        <w:jc w:val="both"/>
        <w:rPr>
          <w:rStyle w:val="C3"/>
          <w:rFonts w:ascii="Courier New" w:hAnsi="Courier New"/>
        </w:rPr>
      </w:pPr>
    </w:p>
    <w:p>
      <w:pPr>
        <w:ind w:left="426"/>
        <w:jc w:val="both"/>
        <w:rPr>
          <w:rStyle w:val="C3"/>
          <w:rFonts w:ascii="Courier New" w:hAnsi="Courier New"/>
        </w:rPr>
      </w:pPr>
      <w:r>
        <w:rPr>
          <w:rStyle w:val="C3"/>
          <w:rFonts w:ascii="Courier New" w:hAnsi="Courier New"/>
        </w:rPr>
        <w:t>Que en mayo de 2010 este Cuerpo sancionó la Ordenanza Nº 8.631, mediante la cual creó el Consejo Municipal de la Niñez y Adolescencia, como espacio de coordinación y construcción institucional, representando una serie de articulaciones y redes entre actores e instituciones locales existentes y ocupadas en la temática de los derechos de la infancia;</w:t>
      </w:r>
    </w:p>
    <w:p>
      <w:pPr>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esta modificación del marco jurídico que regula al Consejo, permitirá efectivizar la implementación del Sistema Local de Protección de los derechos de las Niñas, Niños y Adolescentes en los términos en que lo prevé la Ley Nacional Nº 26.061 y la Ley Provincial Nº 9.944;</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las sugerencias planteadas por los integrantes del Consejo Municipal de la Niñez y Adolescencia por la Comisión de Legislación General, la misma emite despacho sugiriendo aprobar el proyecto de ordenanza propuesto, despacho aprobado por unanimidad en Sesión Ordinaria del día 18 de Abril de 2012.-</w:t>
      </w:r>
    </w:p>
    <w:p>
      <w:pPr>
        <w:jc w:val="both"/>
        <w:rPr>
          <w:rStyle w:val="C3"/>
          <w:rFonts w:ascii="Courier New" w:hAnsi="Courier New"/>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DERÓ</w:t>
      </w:r>
      <w:r>
        <w:rPr>
          <w:rStyle w:val="C3"/>
          <w:rFonts w:ascii="Courier New" w:hAnsi="Courier New"/>
          <w:b w:val="1"/>
        </w:rPr>
        <w:t>GASE</w:t>
      </w:r>
      <w:r>
        <w:rPr>
          <w:rStyle w:val="C3"/>
          <w:rFonts w:ascii="Courier New" w:hAnsi="Courier New"/>
        </w:rPr>
        <w:t xml:space="preserve"> la Ordenanza Nº 8.631</w:t>
      </w:r>
    </w:p>
    <w:p>
      <w:pPr>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CR</w:t>
      </w:r>
      <w:r>
        <w:rPr>
          <w:rStyle w:val="C3"/>
          <w:rFonts w:ascii="Courier New" w:hAnsi="Courier New"/>
          <w:b w:val="1"/>
        </w:rPr>
        <w:t>É</w:t>
      </w:r>
      <w:r>
        <w:rPr>
          <w:rStyle w:val="C3"/>
          <w:rFonts w:ascii="Courier New" w:hAnsi="Courier New"/>
          <w:b w:val="1"/>
        </w:rPr>
        <w:t>ASE</w:t>
      </w:r>
      <w:r>
        <w:rPr>
          <w:rStyle w:val="C3"/>
          <w:rFonts w:ascii="Courier New" w:hAnsi="Courier New"/>
        </w:rPr>
        <w:t xml:space="preserve"> el Consejo Municipal de la Niñez y Adolescencia de la Ciudad de Alta Gracia, dependiente del Departamento Ejecutivo Municipal, para la Promoción y Protección de los Derechos de Niños, Niñas y Adolescentes, en el marco de lo dispuesto por la Ley Nacional Nº 26.061 y la Ley Provincial Nº 9.944.</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...///3.-</w:t>
      </w:r>
    </w:p>
    <w:p>
      <w:pPr>
        <w:ind w:hanging="426" w:left="426"/>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rPr>
        <w:t xml:space="preserve"> </w:t>
      </w:r>
      <w:r>
        <w:rPr>
          <w:rStyle w:val="C3"/>
          <w:rFonts w:ascii="Courier New" w:hAnsi="Courier New"/>
          <w:b w:val="1"/>
        </w:rPr>
        <w:t>ES</w:t>
      </w:r>
      <w:r>
        <w:rPr>
          <w:rStyle w:val="C3"/>
          <w:rFonts w:ascii="Courier New" w:hAnsi="Courier New"/>
          <w:b w:val="1"/>
        </w:rPr>
        <w:t xml:space="preserve">TABLÉZCASE </w:t>
      </w:r>
      <w:r>
        <w:rPr>
          <w:rStyle w:val="C3"/>
          <w:rFonts w:ascii="Courier New" w:hAnsi="Courier New"/>
        </w:rPr>
        <w:t xml:space="preserve">al Consejo como un órgano intersectorial competente, consultivo, asesor y de planificación de políticas públicas que afecten a la niñez y a la adolescencia  integrado con la participación de los diversos sectores de la comunidad y del Estado, que tengan trayectoria de trabajo en promoción, defensa y protección de los derechos de niños, niñas y adolescentes.</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Art.4</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Consejo forma parte del Sistema Local de Protección integral de los Derechos de Niñas, Niños y Adolescentes, en los términos en que lo prevé la Ley Nacional Nº 26.061 y la Ley Provincial Nº 9.944. Promoverá el trabajo conjunto entre los tres niveles de gobierno: nacional, provincial, municipal; las empresas privadas y las organizaciones de la sociedad civil.</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Art.5</w:t>
      </w:r>
      <w:r>
        <w:rPr>
          <w:rStyle w:val="C3"/>
          <w:rFonts w:ascii="Courier New" w:hAnsi="Courier New"/>
          <w:b w:val="1"/>
        </w:rPr>
        <w:t xml:space="preserve">: </w:t>
      </w:r>
      <w:r>
        <w:rPr>
          <w:rStyle w:val="C3"/>
          <w:rFonts w:ascii="Courier New" w:hAnsi="Courier New"/>
          <w:b w:val="1"/>
        </w:rPr>
        <w:t>OBJETIVOS</w:t>
      </w:r>
      <w:r>
        <w:rPr>
          <w:rStyle w:val="C3"/>
          <w:rFonts w:ascii="Courier New" w:hAnsi="Courier New"/>
        </w:rPr>
        <w:t>:</w:t>
      </w:r>
    </w:p>
    <w:p>
      <w:pPr>
        <w:ind w:hanging="426" w:left="426"/>
        <w:jc w:val="both"/>
        <w:rPr>
          <w:rStyle w:val="C3"/>
          <w:rFonts w:ascii="Courier New" w:hAnsi="Courier New"/>
          <w:b w:val="1"/>
        </w:rPr>
      </w:pPr>
    </w:p>
    <w:p>
      <w:pPr>
        <w:numPr>
          <w:ilvl w:val="0"/>
          <w:numId w:val="33"/>
        </w:numPr>
        <w:jc w:val="both"/>
        <w:rPr>
          <w:rStyle w:val="C3"/>
          <w:rFonts w:ascii="Courier New" w:hAnsi="Courier New"/>
        </w:rPr>
      </w:pPr>
      <w:r>
        <w:rPr>
          <w:rStyle w:val="C3"/>
          <w:rFonts w:ascii="Courier New" w:hAnsi="Courier New"/>
        </w:rPr>
        <w:t>Promover el desarrollo integral, personal, social y colectivo de las Niñas, los Niños y Adolescentes de la jurisdicción municipal de Alta Gracia.</w:t>
      </w:r>
    </w:p>
    <w:p>
      <w:pPr>
        <w:numPr>
          <w:ilvl w:val="0"/>
          <w:numId w:val="33"/>
        </w:numPr>
        <w:jc w:val="both"/>
        <w:rPr>
          <w:rStyle w:val="C3"/>
          <w:rFonts w:ascii="Courier New" w:hAnsi="Courier New"/>
        </w:rPr>
      </w:pPr>
      <w:r>
        <w:rPr>
          <w:rStyle w:val="C3"/>
          <w:rFonts w:ascii="Courier New" w:hAnsi="Courier New"/>
        </w:rPr>
        <w:t xml:space="preserve">Institucionalizar la participación organizada de la comunidad en la promoción, protección y defensa de los derechos de niñas, niños y adolescentes. </w:t>
      </w:r>
    </w:p>
    <w:p>
      <w:pPr>
        <w:numPr>
          <w:ilvl w:val="0"/>
          <w:numId w:val="33"/>
        </w:numPr>
        <w:jc w:val="both"/>
        <w:rPr>
          <w:rStyle w:val="C3"/>
          <w:rFonts w:ascii="Courier New" w:hAnsi="Courier New"/>
        </w:rPr>
      </w:pPr>
      <w:r>
        <w:rPr>
          <w:rStyle w:val="C3"/>
          <w:rFonts w:ascii="Courier New" w:hAnsi="Courier New"/>
        </w:rPr>
        <w:t xml:space="preserve">Propender al fortalecimiento del rol de la familia en las políticas públicas diseñadas y a crearse,  estableciéndose las condiciones necesarias para que puedan garantizar el efectivo ejercicio de los derechos de los niños, niñas y adolescentes de quienes son responsables.</w:t>
      </w:r>
    </w:p>
    <w:p>
      <w:pPr>
        <w:numPr>
          <w:ilvl w:val="0"/>
          <w:numId w:val="33"/>
        </w:numPr>
        <w:jc w:val="both"/>
        <w:rPr>
          <w:rStyle w:val="C3"/>
          <w:rFonts w:ascii="Courier New" w:hAnsi="Courier New"/>
        </w:rPr>
      </w:pPr>
      <w:r>
        <w:rPr>
          <w:rStyle w:val="C3"/>
          <w:rFonts w:ascii="Courier New" w:hAnsi="Courier New"/>
        </w:rPr>
        <w:t>Promover la implementación equitativa, transparente y desde la perspectiva del enfoque de derechos de los distintos planes, programas y proyectos que afecten a los niños, niñas, adolescentes y a sus familias.</w:t>
      </w:r>
    </w:p>
    <w:p>
      <w:pPr>
        <w:numPr>
          <w:ilvl w:val="0"/>
          <w:numId w:val="33"/>
        </w:numPr>
        <w:jc w:val="both"/>
        <w:rPr>
          <w:rStyle w:val="C3"/>
          <w:rFonts w:ascii="Courier New" w:hAnsi="Courier New"/>
        </w:rPr>
      </w:pPr>
      <w:r>
        <w:rPr>
          <w:rStyle w:val="C3"/>
          <w:rFonts w:ascii="Courier New" w:hAnsi="Courier New"/>
        </w:rPr>
        <w:t>Impulsar y fortalecer redes intersectoriales locales para la promoción de derechos de niños, niñas y adolescentes.</w:t>
      </w:r>
    </w:p>
    <w:p>
      <w:pPr>
        <w:numPr>
          <w:ilvl w:val="0"/>
          <w:numId w:val="33"/>
        </w:numPr>
        <w:jc w:val="both"/>
        <w:rPr>
          <w:rStyle w:val="C3"/>
          <w:rFonts w:ascii="Courier New" w:hAnsi="Courier New"/>
        </w:rPr>
      </w:pPr>
      <w:r>
        <w:rPr>
          <w:rStyle w:val="C3"/>
          <w:rFonts w:ascii="Courier New" w:hAnsi="Courier New"/>
        </w:rPr>
        <w:t>Propiciar la participación protagónica de niños, niñas y adolescentes a nivel local y regional generando las condiciones necesarias para la organización y desarrollo de redes y movimientos infantiles y juveniles.</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jc w:val="both"/>
        <w:rPr>
          <w:rStyle w:val="C3"/>
          <w:rFonts w:ascii="Courier New" w:hAnsi="Courier New"/>
        </w:rPr>
      </w:pPr>
      <w:r>
        <w:rPr>
          <w:rStyle w:val="C3"/>
          <w:rFonts w:ascii="Courier New" w:hAnsi="Courier New"/>
        </w:rPr>
        <w:t>...///4.-</w:t>
      </w:r>
    </w:p>
    <w:p>
      <w:pPr>
        <w:jc w:val="both"/>
        <w:rPr>
          <w:rStyle w:val="C3"/>
          <w:rFonts w:ascii="Courier New" w:hAnsi="Courier New"/>
        </w:rPr>
      </w:pPr>
    </w:p>
    <w:p>
      <w:pPr>
        <w:jc w:val="both"/>
        <w:rPr>
          <w:rStyle w:val="C3"/>
          <w:rFonts w:ascii="Courier New" w:hAnsi="Courier New"/>
          <w:b w:val="1"/>
          <w:u w:val="single"/>
        </w:rPr>
      </w:pPr>
    </w:p>
    <w:p>
      <w:pPr>
        <w:jc w:val="both"/>
        <w:rPr>
          <w:rStyle w:val="C3"/>
          <w:rFonts w:ascii="Courier New" w:hAnsi="Courier New"/>
        </w:rPr>
      </w:pPr>
      <w:r>
        <w:rPr>
          <w:rStyle w:val="C3"/>
          <w:rFonts w:ascii="Courier New" w:hAnsi="Courier New"/>
          <w:b w:val="1"/>
          <w:u w:val="single"/>
        </w:rPr>
        <w:t>Art.6</w:t>
      </w:r>
      <w:r>
        <w:rPr>
          <w:rStyle w:val="C3"/>
          <w:rFonts w:ascii="Courier New" w:hAnsi="Courier New"/>
          <w:b w:val="1"/>
        </w:rPr>
        <w:t>:</w:t>
      </w:r>
      <w:r>
        <w:rPr>
          <w:rStyle w:val="C3"/>
          <w:rFonts w:ascii="Courier New" w:hAnsi="Courier New"/>
          <w:b w:val="1"/>
        </w:rPr>
        <w:t xml:space="preserve"> </w:t>
      </w:r>
      <w:r>
        <w:rPr>
          <w:rStyle w:val="C3"/>
          <w:rFonts w:ascii="Courier New" w:hAnsi="Courier New"/>
        </w:rPr>
        <w:t>El Consejo Municipal cumplirá las siguientes</w:t>
      </w:r>
      <w:r>
        <w:rPr>
          <w:rStyle w:val="C3"/>
          <w:rFonts w:ascii="Courier New" w:hAnsi="Courier New"/>
          <w:b w:val="1"/>
        </w:rPr>
        <w:t xml:space="preserve"> funciones</w:t>
      </w:r>
      <w:r>
        <w:rPr>
          <w:rStyle w:val="C3"/>
          <w:rFonts w:ascii="Courier New" w:hAnsi="Courier New"/>
        </w:rPr>
        <w:t xml:space="preserve">: </w:t>
      </w:r>
    </w:p>
    <w:p>
      <w:pPr>
        <w:numPr>
          <w:ilvl w:val="0"/>
          <w:numId w:val="34"/>
        </w:numPr>
        <w:jc w:val="both"/>
        <w:rPr>
          <w:rStyle w:val="C3"/>
          <w:rFonts w:ascii="Courier New" w:hAnsi="Courier New"/>
        </w:rPr>
      </w:pPr>
      <w:r>
        <w:rPr>
          <w:rStyle w:val="C3"/>
          <w:rFonts w:ascii="Courier New" w:hAnsi="Courier New"/>
        </w:rPr>
        <w:t xml:space="preserve">Relevar y diagnosticar la situación de Niñas, Niños y Adolescentes, y sus familias; y  las ofertas de servicios y prestaciones dirigidas a los mismos.</w:t>
      </w:r>
    </w:p>
    <w:p>
      <w:pPr>
        <w:numPr>
          <w:ilvl w:val="0"/>
          <w:numId w:val="34"/>
        </w:numPr>
        <w:jc w:val="both"/>
        <w:rPr>
          <w:rStyle w:val="C3"/>
          <w:rFonts w:ascii="Courier New" w:hAnsi="Courier New"/>
        </w:rPr>
      </w:pPr>
      <w:r>
        <w:rPr>
          <w:rStyle w:val="C3"/>
          <w:rFonts w:ascii="Courier New" w:hAnsi="Courier New"/>
        </w:rPr>
        <w:t xml:space="preserve">Rever los Programas o Proyectos vigentes, públicos y privados, que afecten a la Niñez, Adolescencia y a sus familias y redefinirlos en función de la aplicación de la Ley  Nacional Nº 26.061 y la Ley Provincial N° 9944.</w:t>
      </w:r>
    </w:p>
    <w:p>
      <w:pPr>
        <w:numPr>
          <w:ilvl w:val="0"/>
          <w:numId w:val="34"/>
        </w:numPr>
        <w:jc w:val="both"/>
        <w:rPr>
          <w:rStyle w:val="C3"/>
          <w:rFonts w:ascii="Courier New" w:hAnsi="Courier New"/>
        </w:rPr>
      </w:pPr>
      <w:r>
        <w:rPr>
          <w:rStyle w:val="C3"/>
          <w:rFonts w:ascii="Courier New" w:hAnsi="Courier New"/>
        </w:rPr>
        <w:t>Diseñar, acordar y proponer un plan de acción territorial para la protección de los derechos de los Niños, Niñas y Adolescentes previendo la articulación de los programas y recursos existentes y a crearse, en base al diagnóstico previsto en el inciso anterior.</w:t>
      </w:r>
    </w:p>
    <w:p>
      <w:pPr>
        <w:numPr>
          <w:ilvl w:val="0"/>
          <w:numId w:val="34"/>
        </w:numPr>
        <w:jc w:val="both"/>
        <w:rPr>
          <w:rStyle w:val="C3"/>
          <w:rFonts w:ascii="Courier New" w:hAnsi="Courier New"/>
        </w:rPr>
      </w:pPr>
      <w:r>
        <w:rPr>
          <w:rStyle w:val="C3"/>
          <w:rFonts w:ascii="Courier New" w:hAnsi="Courier New"/>
        </w:rPr>
        <w:t>Acompañar y promover las acciones gubernamentales y no gubernamentales destinadas a la implementación de las acciones definidas en el Plan de Acción Territorial.</w:t>
      </w:r>
    </w:p>
    <w:p>
      <w:pPr>
        <w:numPr>
          <w:ilvl w:val="0"/>
          <w:numId w:val="34"/>
        </w:numPr>
        <w:jc w:val="both"/>
        <w:rPr>
          <w:rStyle w:val="C3"/>
          <w:rFonts w:ascii="Courier New" w:hAnsi="Courier New"/>
        </w:rPr>
      </w:pPr>
      <w:r>
        <w:rPr>
          <w:rStyle w:val="C3"/>
          <w:rFonts w:ascii="Courier New" w:hAnsi="Courier New"/>
        </w:rPr>
        <w:t>Proponer al Departamento Ejecutivo Municipal y al Concejo Deliberante políticas públicas que afecten a la niñez y adolescencia, a través de un Plan de Acción Territorial.</w:t>
      </w:r>
    </w:p>
    <w:p>
      <w:pPr>
        <w:numPr>
          <w:ilvl w:val="0"/>
          <w:numId w:val="34"/>
        </w:numPr>
        <w:jc w:val="both"/>
        <w:rPr>
          <w:rStyle w:val="C3"/>
          <w:rFonts w:ascii="Courier New" w:hAnsi="Courier New"/>
        </w:rPr>
      </w:pPr>
      <w:r>
        <w:rPr>
          <w:rStyle w:val="C3"/>
          <w:rFonts w:ascii="Courier New" w:hAnsi="Courier New"/>
        </w:rPr>
        <w:t>Presentar al Departamento Ejecutivo Municipal una propuesta de presupuesto acorde al Plan de Acción Territorial</w:t>
      </w:r>
    </w:p>
    <w:p>
      <w:pPr>
        <w:numPr>
          <w:ilvl w:val="0"/>
          <w:numId w:val="34"/>
        </w:numPr>
        <w:jc w:val="both"/>
        <w:rPr>
          <w:rStyle w:val="C3"/>
          <w:rFonts w:ascii="Courier New" w:hAnsi="Courier New"/>
        </w:rPr>
      </w:pPr>
      <w:r>
        <w:rPr>
          <w:rStyle w:val="C3"/>
          <w:rFonts w:ascii="Courier New" w:hAnsi="Courier New"/>
        </w:rPr>
        <w:t>Asesorar, al Departamento Ejecutivo Municipal y Concejo Deliberante, sobre la sanción de normas que contribuyan a la promoción y protección integral de los derechos de Niñas, Niños y Adolescentes.</w:t>
      </w:r>
    </w:p>
    <w:p>
      <w:pPr>
        <w:numPr>
          <w:ilvl w:val="0"/>
          <w:numId w:val="34"/>
        </w:numPr>
        <w:jc w:val="both"/>
        <w:rPr>
          <w:rStyle w:val="C3"/>
          <w:rFonts w:ascii="Courier New" w:hAnsi="Courier New"/>
        </w:rPr>
      </w:pPr>
      <w:r>
        <w:rPr>
          <w:rStyle w:val="C3"/>
          <w:rFonts w:ascii="Courier New" w:hAnsi="Courier New"/>
        </w:rPr>
        <w:t>Diseñar, desarrollar y acompañar instancias de formación, capacitación y difusión en promoción y protección de los derechos de las niñas, niños y adolescentes, en el marco de las Leyes Nacional 26061 y Provincial 9944.</w:t>
      </w:r>
    </w:p>
    <w:p>
      <w:pPr>
        <w:numPr>
          <w:ilvl w:val="0"/>
          <w:numId w:val="34"/>
        </w:numPr>
        <w:jc w:val="both"/>
        <w:rPr>
          <w:rStyle w:val="C3"/>
          <w:rFonts w:ascii="Courier New" w:hAnsi="Courier New"/>
        </w:rPr>
      </w:pPr>
      <w:r>
        <w:rPr>
          <w:rStyle w:val="C3"/>
          <w:rFonts w:ascii="Courier New" w:hAnsi="Courier New"/>
        </w:rPr>
        <w:t>Evaluar y monitorear los recursos y modalidades de ejecución de los planes y programas que afecten a los niños, niñas y adolescentes teniendo en cuenta el marco normativo citado</w:t>
      </w:r>
      <w:r>
        <w:rPr>
          <w:rStyle w:val="C3"/>
          <w:rFonts w:ascii="Courier New" w:hAnsi="Courier New"/>
          <w:b w:val="1"/>
        </w:rPr>
        <w:t>.</w:t>
      </w:r>
      <w:r>
        <w:rPr>
          <w:rStyle w:val="C3"/>
          <w:rFonts w:ascii="Courier New" w:hAnsi="Courier New"/>
        </w:rPr>
        <w:t xml:space="preserve"> </w:t>
      </w:r>
    </w:p>
    <w:p>
      <w:pPr>
        <w:numPr>
          <w:ilvl w:val="0"/>
          <w:numId w:val="34"/>
        </w:numPr>
        <w:jc w:val="both"/>
        <w:rPr>
          <w:rStyle w:val="C3"/>
          <w:rFonts w:ascii="Courier New" w:hAnsi="Courier New"/>
        </w:rPr>
      </w:pPr>
      <w:r>
        <w:rPr>
          <w:rStyle w:val="C3"/>
          <w:rFonts w:ascii="Courier New" w:hAnsi="Courier New"/>
        </w:rPr>
        <w:t xml:space="preserve">Promover  la creación de los Consejos Comunitarios de Niños, Niñas y Adolescentes como órganos descentralizados del Consejo Municipal.</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...///5.-</w:t>
      </w:r>
    </w:p>
    <w:p>
      <w:pPr>
        <w:jc w:val="both"/>
        <w:rPr>
          <w:rStyle w:val="C3"/>
          <w:rFonts w:ascii="Courier New" w:hAnsi="Courier New"/>
        </w:rPr>
      </w:pPr>
    </w:p>
    <w:p>
      <w:pPr>
        <w:numPr>
          <w:ilvl w:val="0"/>
          <w:numId w:val="34"/>
        </w:numPr>
        <w:jc w:val="both"/>
        <w:rPr>
          <w:rStyle w:val="C3"/>
          <w:rFonts w:ascii="Courier New" w:hAnsi="Courier New"/>
        </w:rPr>
      </w:pPr>
      <w:r>
        <w:rPr>
          <w:rStyle w:val="C3"/>
          <w:rFonts w:ascii="Courier New" w:hAnsi="Courier New"/>
        </w:rPr>
        <w:t>Fomentar el desarrollo de los Foros de Niñas y Niños y Foros de Jóvenes, como espacios de participación efectiva y protagónica que les posibilite intervenir en el diseño, ejecución y monitoreo de políticas públicas.</w:t>
      </w:r>
    </w:p>
    <w:p>
      <w:pPr>
        <w:numPr>
          <w:ilvl w:val="0"/>
          <w:numId w:val="34"/>
        </w:numPr>
        <w:jc w:val="both"/>
        <w:rPr>
          <w:rStyle w:val="C3"/>
          <w:rFonts w:ascii="Courier New" w:hAnsi="Courier New"/>
        </w:rPr>
      </w:pPr>
      <w:r>
        <w:rPr>
          <w:rStyle w:val="C3"/>
          <w:rFonts w:ascii="Courier New" w:hAnsi="Courier New"/>
        </w:rPr>
        <w:t>Promover la creación por parte del Departamento Ejecutivo Municipal de las áreas locales o servicios de protección de derechos a los fines de completar la integración del Sistema Municipal de Protección Integral de los Derechos del niño y el adolescente en Alta Gracia.</w:t>
      </w:r>
    </w:p>
    <w:p>
      <w:pPr>
        <w:numPr>
          <w:ilvl w:val="0"/>
          <w:numId w:val="34"/>
        </w:numPr>
        <w:jc w:val="both"/>
        <w:rPr>
          <w:rStyle w:val="C3"/>
          <w:rFonts w:ascii="Courier New" w:hAnsi="Courier New"/>
        </w:rPr>
      </w:pPr>
      <w:r>
        <w:rPr>
          <w:rStyle w:val="C3"/>
          <w:rFonts w:ascii="Courier New" w:hAnsi="Courier New"/>
        </w:rPr>
        <w:t>Elaborar un informe anual de las actividades realizadas y desarrolladas por el Consejo, publicarlo y mantenerlo actualizado en la página Web de la Municipalidad de Alta Gracia</w:t>
      </w: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spacing w:lineRule="auto" w:line="276" w:beforeAutospacing="1" w:afterAutospacing="1"/>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7</w:t>
      </w:r>
      <w:r>
        <w:rPr>
          <w:rStyle w:val="C3"/>
          <w:rFonts w:ascii="Courier New" w:hAnsi="Courier New"/>
          <w:b w:val="1"/>
        </w:rPr>
        <w:t>:</w:t>
      </w:r>
      <w:r>
        <w:rPr>
          <w:rStyle w:val="C3"/>
          <w:rFonts w:ascii="Courier New" w:hAnsi="Courier New"/>
          <w:b w:val="1"/>
        </w:rPr>
        <w:t xml:space="preserve"> </w:t>
      </w:r>
      <w:r>
        <w:rPr>
          <w:rStyle w:val="C3"/>
          <w:rFonts w:ascii="Courier New" w:hAnsi="Courier New"/>
        </w:rPr>
        <w:t>EL Consejo Municipal de Niñez y Adolescencia estará integrado de la siguiente manera:</w:t>
      </w:r>
    </w:p>
    <w:p>
      <w:pPr>
        <w:spacing w:lineRule="auto" w:line="276" w:beforeAutospacing="1" w:afterAutospacing="1"/>
        <w:ind w:hanging="426" w:left="426"/>
        <w:jc w:val="both"/>
        <w:rPr>
          <w:rStyle w:val="C3"/>
        </w:rPr>
      </w:pPr>
      <w:r>
        <w:rPr>
          <w:rStyle w:val="C3"/>
          <w:rFonts w:ascii="Courier New" w:hAnsi="Courier New"/>
        </w:rPr>
        <w:t xml:space="preserve">   a)</w:t>
        <w:tab/>
      </w:r>
      <w:r>
        <w:rPr>
          <w:rStyle w:val="C3"/>
          <w:rFonts w:ascii="Courier New" w:hAnsi="Courier New"/>
          <w:b w:val="1"/>
        </w:rPr>
        <w:t>Sector Público</w:t>
      </w:r>
      <w:r>
        <w:rPr>
          <w:rStyle w:val="C3"/>
          <w:rFonts w:ascii="Courier New" w:hAnsi="Courier New"/>
        </w:rPr>
        <w:t xml:space="preserve">: El Intendente de la Ciudad de    Alta Gracia o la persona que él designe  y un representante por cada Secretaria, con un máximo de cinco (5), de aquellas áreas que tengan vinculación con la promoción de los derechos de las niñas, niños y adolescentes. Además un (1) representante del Área Municipal o Local responsable de manera específica de políticas públicas de niñez, adolescencia y familia, un (1) representante del área de Asesoría Letrada y un (1) representante del Tribunal de Cuentas Municipal. Un (1) concejal por cada bloque del Concejo Deliberante.</w:t>
      </w:r>
      <w:r>
        <w:rPr>
          <w:rStyle w:val="C13"/>
          <w:rFonts w:ascii="Times New Roman" w:hAnsi="Times New Roman"/>
        </w:rPr>
        <w:footnoteReference w:id="0"/>
      </w:r>
    </w:p>
    <w:p>
      <w:pPr>
        <w:ind w:hanging="426" w:left="426"/>
        <w:jc w:val="both"/>
        <w:rPr>
          <w:rStyle w:val="C3"/>
          <w:rFonts w:ascii="Courier New" w:hAnsi="Courier New"/>
        </w:rPr>
      </w:pPr>
      <w:r>
        <w:rPr>
          <w:rStyle w:val="C3"/>
          <w:rFonts w:ascii="Courier New" w:hAnsi="Courier New"/>
          <w:b w:val="1"/>
        </w:rPr>
        <w:t xml:space="preserve"> </w:t>
      </w:r>
      <w:r>
        <w:rPr>
          <w:rStyle w:val="C3"/>
          <w:rFonts w:ascii="Courier New" w:hAnsi="Courier New"/>
        </w:rPr>
        <w:t xml:space="preserve"> </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Art.8</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EL</w:t>
      </w:r>
      <w:r>
        <w:rPr>
          <w:rStyle w:val="C3"/>
          <w:rFonts w:ascii="Courier New" w:hAnsi="Courier New"/>
        </w:rPr>
        <w:t xml:space="preserve"> Consejo Municipal es presidido por el Intendente de la Ciudad de Alta Gracia, o por el funcionario que éste designe. </w:t>
      </w:r>
    </w:p>
    <w:p>
      <w:pPr>
        <w:ind w:left="426"/>
        <w:jc w:val="both"/>
        <w:rPr>
          <w:rStyle w:val="C3"/>
          <w:rFonts w:ascii="Courier New" w:hAnsi="Courier New"/>
        </w:rPr>
      </w:pPr>
      <w:r>
        <w:rPr>
          <w:rStyle w:val="C3"/>
          <w:rFonts w:ascii="Courier New" w:hAnsi="Courier New"/>
        </w:rPr>
        <w:t>En la primera sesión anual, con acuerdo del resto de los integrantes del Consejo Municipal expresado por el voto, se designará a las autoridades que gobiernen dicho Organismo.</w:t>
      </w:r>
      <w:r>
        <w:rPr>
          <w:rStyle w:val="C3"/>
          <w:rFonts w:ascii="Courier New" w:hAnsi="Courier New"/>
          <w:b w:val="1"/>
        </w:rPr>
        <w:t xml:space="preserve"> </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9</w:t>
      </w:r>
      <w:r>
        <w:rPr>
          <w:rStyle w:val="C3"/>
          <w:rFonts w:ascii="Courier New" w:hAnsi="Courier New"/>
          <w:b w:val="1"/>
        </w:rPr>
        <w:t>:</w:t>
      </w:r>
      <w:r>
        <w:rPr>
          <w:rStyle w:val="C3"/>
          <w:rFonts w:ascii="Courier New" w:hAnsi="Courier New"/>
          <w:b w:val="1"/>
        </w:rPr>
        <w:t xml:space="preserve"> LA</w:t>
      </w:r>
      <w:r>
        <w:rPr>
          <w:rStyle w:val="C3"/>
          <w:rFonts w:ascii="Courier New" w:hAnsi="Courier New"/>
        </w:rPr>
        <w:t xml:space="preserve"> participación, tanto en  las sesiones del Consejo Municipal de Niñez y Adolescencia, como en cada una de las comisiones de trabajo es abierta a toda la comunidad, y los integrantes mencionados en el Artículo 7 tendrán la potestad del voto. </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.10</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Consejo debidamente constituido dictará su propio Reglamento Interno, que deberá incluir a un Presidente, un Coordinador, y un Secretario de Actas. Los demás integrantes se denominarán Consejeros. Dicho reglamento deberá ser aprobado por el voto de los dos tercios (2/3) de los miembros presentes, requiriéndose idéntica mayoría para su modificación.  </w:t>
      </w:r>
    </w:p>
    <w:p>
      <w:pPr>
        <w:jc w:val="both"/>
        <w:rPr>
          <w:rStyle w:val="C3"/>
          <w:rFonts w:ascii="Courier New" w:hAnsi="Courier New"/>
          <w:b w:val="1"/>
        </w:rPr>
      </w:pPr>
    </w:p>
    <w:p>
      <w:pPr>
        <w:jc w:val="both"/>
        <w:rPr>
          <w:rStyle w:val="C3"/>
          <w:rFonts w:ascii="Courier New" w:hAnsi="Courier New"/>
          <w:b w:val="1"/>
        </w:rPr>
      </w:pPr>
    </w:p>
    <w:p>
      <w:pPr>
        <w:jc w:val="right"/>
        <w:rPr>
          <w:rStyle w:val="C3"/>
          <w:rFonts w:ascii="Courier New" w:hAnsi="Courier New"/>
        </w:rPr>
      </w:pPr>
      <w:r>
        <w:rPr>
          <w:rStyle w:val="C3"/>
          <w:rFonts w:ascii="Courier New" w:hAnsi="Courier New"/>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...///7.-</w:t>
      </w:r>
    </w:p>
    <w:p>
      <w:pPr>
        <w:ind w:hanging="426" w:left="426"/>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11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EL</w:t>
      </w:r>
      <w:r>
        <w:rPr>
          <w:rStyle w:val="C3"/>
          <w:rFonts w:ascii="Courier New" w:hAnsi="Courier New"/>
        </w:rPr>
        <w:t xml:space="preserve"> Consejo Municipal de Niñez y Adolescencia funciona con la modalidad de plenario a realizarse periódicamente de la manera que se acuerde en el Reglamento. En todos los casos, el Consejo sesionará válidamente con el número de Consejeros presentes. Sus decisiones se toman con el voto de, al menos, los dos tercios (2/3) de sus miembros presentes.</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2</w:t>
      </w:r>
      <w:r>
        <w:rPr>
          <w:rStyle w:val="C3"/>
          <w:rFonts w:ascii="Courier New" w:hAnsi="Courier New"/>
          <w:b w:val="1"/>
          <w:u w:val="single"/>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Departamento Ejecutivo Municipal asigna las partidas presupuestarias específicas al Consejo Municipal de Niñez y Adolescencia de la Ciudad de Alta Gracia, a propuesta de este último.</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Art.13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EL</w:t>
      </w:r>
      <w:r>
        <w:rPr>
          <w:rStyle w:val="C3"/>
          <w:rFonts w:ascii="Courier New" w:hAnsi="Courier New"/>
        </w:rPr>
        <w:t xml:space="preserve"> Consejo Municipal presentará la nómina de sus integrantes y la organización interna al Departamento Ejecutivo Municipal y al Honorable Concejo Deliberante para su reconocimiento.</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Art.14</w:t>
      </w:r>
      <w:r>
        <w:rPr>
          <w:rStyle w:val="C3"/>
          <w:rFonts w:ascii="Courier New" w:hAnsi="Courier New"/>
          <w:b w:val="1"/>
        </w:rPr>
        <w:t>:</w:t>
      </w:r>
      <w:r>
        <w:rPr>
          <w:rStyle w:val="C3"/>
          <w:rFonts w:ascii="Courier New" w:hAnsi="Courier New"/>
        </w:rPr>
        <w:t xml:space="preserve"> </w:t>
      </w:r>
      <w:r>
        <w:rPr>
          <w:rStyle w:val="C3"/>
          <w:rFonts w:ascii="Courier New" w:hAnsi="Courier New"/>
          <w:b w:val="1"/>
        </w:rPr>
        <w:t>HASTA</w:t>
      </w:r>
      <w:r>
        <w:rPr>
          <w:rStyle w:val="C3"/>
          <w:rFonts w:ascii="Courier New" w:hAnsi="Courier New"/>
        </w:rPr>
        <w:t xml:space="preserve"> que se formalice la integración de niñas, niños y adolescentes en el Consejo Municipal y se organicen los Consejos Comunitarios, ellos podrán participar en las comisiones de trabajo del Consejo Municipal.</w:t>
      </w:r>
    </w:p>
    <w:p>
      <w:pPr>
        <w:jc w:val="both"/>
        <w:rPr>
          <w:rStyle w:val="C3"/>
          <w:rFonts w:ascii="Courier New" w:hAnsi="Courier New"/>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15</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u w:val="single"/>
        </w:rPr>
      </w:pP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DIECIOCHO DÍAS DEL MES ABRIL DEL AÑO DOS MIL DOCE.- </w:t>
      </w:r>
    </w:p>
    <w:p>
      <w:pPr>
        <w:pStyle w:val="P17"/>
      </w:pPr>
    </w:p>
    <w:sectPr>
      <w:type w:val="nextPage"/>
      <w:pgSz w:w="11906" w:h="16838" w:code="0"/>
      <w:pgMar w:left="1701" w:right="1701" w:top="1417" w:bottom="1417" w:header="720" w:footer="720" w:gutter="0"/>
    </w:sectPr>
  </w:body>
</w:document>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footnote w:id="0">
    <w:p>
      <w:pPr>
        <w:pStyle w:val="P30"/>
        <w:jc w:val="both"/>
        <w:rPr>
          <w:rStyle w:val="C3"/>
          <w:rFonts w:ascii="Calibri" w:hAnsi="Calibri"/>
          <w:i w:val="1"/>
        </w:rPr>
      </w:pPr>
      <w:r>
        <w:rPr>
          <w:rStyle w:val="C13"/>
          <w:rFonts w:ascii="Times New Roman" w:hAnsi="Times New Roman"/>
          <w:i w:val="1"/>
        </w:rPr>
        <w:footnoteRef/>
      </w:r>
      <w:r>
        <w:rPr>
          <w:rStyle w:val="C3"/>
          <w:rFonts w:ascii="Calibri" w:hAnsi="Calibri"/>
          <w:i w:val="1"/>
        </w:rPr>
        <w:t xml:space="preserve"> </w:t>
      </w:r>
      <w:r>
        <w:rPr>
          <w:rStyle w:val="C3"/>
          <w:rFonts w:ascii="Calibri" w:hAnsi="Calibri"/>
          <w:i w:val="1"/>
        </w:rPr>
        <w:t>Texto ordenado según Ord. Nro. 9517.</w:t>
      </w:r>
    </w:p>
    <w:p>
      <w:pPr>
        <w:pStyle w:val="P30"/>
        <w:jc w:val="both"/>
        <w:rPr>
          <w:rStyle w:val="C3"/>
          <w:rFonts w:ascii="Calibri" w:hAnsi="Calibri"/>
          <w:i w:val="1"/>
        </w:rPr>
      </w:pPr>
      <w:r>
        <w:rPr>
          <w:rStyle w:val="C3"/>
          <w:rFonts w:ascii="Calibri" w:hAnsi="Calibri"/>
          <w:i w:val="1"/>
        </w:rPr>
        <w:t>Texto original</w:t>
      </w:r>
      <w:r>
        <w:rPr>
          <w:rStyle w:val="C3"/>
          <w:rFonts w:ascii="Calibri" w:hAnsi="Calibri"/>
          <w:i w:val="1"/>
        </w:rPr>
        <w:t xml:space="preserve">: </w:t>
      </w:r>
      <w:r>
        <w:rPr>
          <w:rStyle w:val="C3"/>
          <w:rFonts w:ascii="Calibri" w:hAnsi="Calibri"/>
          <w:i w:val="1"/>
        </w:rPr>
        <w:t>“</w:t>
      </w:r>
      <w:r>
        <w:rPr>
          <w:rStyle w:val="C3"/>
          <w:rFonts w:ascii="Calibri" w:hAnsi="Calibri"/>
          <w:i w:val="1"/>
        </w:rPr>
        <w:t>EL Consejo Municipal de Niñez y Adolescencia estará integrado de la siguiente manera:</w:t>
      </w:r>
    </w:p>
    <w:p>
      <w:pPr>
        <w:pStyle w:val="P30"/>
        <w:jc w:val="both"/>
        <w:rPr>
          <w:rStyle w:val="C3"/>
          <w:rFonts w:ascii="Calibri" w:hAnsi="Calibri"/>
          <w:i w:val="1"/>
        </w:rPr>
      </w:pPr>
      <w:r>
        <w:rPr>
          <w:rStyle w:val="C3"/>
          <w:rFonts w:ascii="Calibri" w:hAnsi="Calibri"/>
          <w:i w:val="1"/>
        </w:rPr>
        <w:t>a)</w:t>
        <w:tab/>
        <w:t xml:space="preserve">Sector Público: El Intendente de la Ciudad de    Alta Gracia  y un representante por cada Secretaría, con un máximo de cinco (5), priorizando aquellas áreas que tengan vinculación con la promoción de los derechos de las niñas, niños y adolescentes. Adem</w:t>
      </w:r>
      <w:r>
        <w:rPr>
          <w:rStyle w:val="C3"/>
          <w:rFonts w:ascii="Calibri" w:hAnsi="Calibri"/>
          <w:i w:val="1"/>
        </w:rPr>
        <w:t>ás un (1) representante del Área Municipal o Local responsable de manera específica de políticas públicas de niñez, adolescencia y familia. Un concejal por cada bloque del Concejo Deliberante.</w:t>
      </w:r>
    </w:p>
    <w:p>
      <w:pPr>
        <w:pStyle w:val="P30"/>
        <w:jc w:val="both"/>
        <w:rPr>
          <w:rStyle w:val="C3"/>
          <w:rFonts w:ascii="Calibri" w:hAnsi="Calibri"/>
          <w:i w:val="1"/>
        </w:rPr>
      </w:pPr>
      <w:r>
        <w:rPr>
          <w:rStyle w:val="C3"/>
          <w:rFonts w:ascii="Calibri" w:hAnsi="Calibri"/>
          <w:i w:val="1"/>
        </w:rPr>
        <w:t>b)</w:t>
        <w:tab/>
        <w:t>Sector Socio – Comunitario: Cinco (5) representantes de org</w:t>
      </w:r>
      <w:r>
        <w:rPr>
          <w:rStyle w:val="C3"/>
          <w:rFonts w:ascii="Calibri" w:hAnsi="Calibri"/>
          <w:i w:val="1"/>
        </w:rPr>
        <w:t>anizaciones de la sociedad civil que tengan trayectoria de trabajo con niñez y/o adolescencia que serán designadas conforme a la reglamentación.</w:t>
      </w:r>
    </w:p>
    <w:p>
      <w:pPr>
        <w:pStyle w:val="P30"/>
        <w:jc w:val="both"/>
        <w:rPr>
          <w:rStyle w:val="C3"/>
          <w:rFonts w:ascii="Calibri" w:hAnsi="Calibri"/>
          <w:i w:val="1"/>
        </w:rPr>
      </w:pPr>
      <w:r>
        <w:rPr>
          <w:rStyle w:val="C3"/>
          <w:rFonts w:ascii="Calibri" w:hAnsi="Calibri"/>
          <w:i w:val="1"/>
        </w:rPr>
        <w:t>Un (1) representante de Escuelas iniciales, uno (1) de Escuelas Primarias, uno (1) de Escuelas Secundarias, uno</w:t>
      </w:r>
      <w:r>
        <w:rPr>
          <w:rStyle w:val="C3"/>
          <w:rFonts w:ascii="Calibri" w:hAnsi="Calibri"/>
          <w:i w:val="1"/>
        </w:rPr>
        <w:t xml:space="preserve"> (1) de Escuelas  Terciarias, uno (1) de Escuelas Especiales.</w:t>
      </w:r>
    </w:p>
    <w:p>
      <w:pPr>
        <w:pStyle w:val="P30"/>
        <w:jc w:val="both"/>
        <w:rPr>
          <w:rStyle w:val="C3"/>
          <w:rFonts w:ascii="Calibri" w:hAnsi="Calibri"/>
          <w:i w:val="1"/>
        </w:rPr>
      </w:pPr>
      <w:r>
        <w:rPr>
          <w:rStyle w:val="C3"/>
          <w:rFonts w:ascii="Calibri" w:hAnsi="Calibri"/>
          <w:i w:val="1"/>
        </w:rPr>
        <w:t>c)</w:t>
        <w:tab/>
        <w:t xml:space="preserve">  Niños, Niñas y Adolescentes organizados: Cinco (5) niños y adolescentes en representación de grupos y organizaciones de niños y jóvenes que serán designados conforme a la reglamentación.</w:t>
      </w:r>
    </w:p>
    <w:p>
      <w:pPr>
        <w:pStyle w:val="P30"/>
        <w:jc w:val="both"/>
        <w:rPr>
          <w:rStyle w:val="C3"/>
          <w:rFonts w:ascii="Calibri" w:hAnsi="Calibri"/>
          <w:i w:val="1"/>
        </w:rPr>
      </w:pPr>
      <w:r>
        <w:rPr>
          <w:rStyle w:val="C3"/>
          <w:rFonts w:ascii="Calibri" w:hAnsi="Calibri"/>
          <w:i w:val="1"/>
        </w:rPr>
        <w:t>d)</w:t>
        <w:tab/>
        <w:t xml:space="preserve">  Representantes de jurisdicción provincial y      nacional: Un (1) Representante de SeNAF Nación y uno (1) de SeNAF provincia, en caso de que se encontraran trabajando en el municipio.</w:t>
      </w:r>
    </w:p>
    <w:p>
      <w:pPr>
        <w:pStyle w:val="P30"/>
        <w:jc w:val="both"/>
        <w:rPr>
          <w:rStyle w:val="C3"/>
          <w:rFonts w:ascii="Calibri" w:hAnsi="Calibri"/>
          <w:i w:val="1"/>
        </w:rPr>
      </w:pPr>
      <w:r>
        <w:rPr>
          <w:rStyle w:val="C3"/>
          <w:rFonts w:ascii="Calibri" w:hAnsi="Calibri"/>
          <w:i w:val="1"/>
        </w:rPr>
        <w:t>e)</w:t>
        <w:tab/>
        <w:t xml:space="preserve">  Consejos Comunitarios: Un (1) repres</w:t>
      </w:r>
      <w:r>
        <w:rPr>
          <w:rStyle w:val="C3"/>
          <w:rFonts w:ascii="Calibri" w:hAnsi="Calibri"/>
          <w:i w:val="1"/>
        </w:rPr>
        <w:t xml:space="preserve">entante de  cada   Consejo Comunitario que se cree dentro del Municipio.</w:t>
      </w:r>
    </w:p>
    <w:p>
      <w:pPr>
        <w:pStyle w:val="P30"/>
        <w:jc w:val="both"/>
        <w:rPr>
          <w:rStyle w:val="C3"/>
          <w:rFonts w:ascii="Calibri" w:hAnsi="Calibri"/>
          <w:i w:val="1"/>
        </w:rPr>
      </w:pPr>
      <w:r>
        <w:rPr>
          <w:rStyle w:val="C3"/>
          <w:rFonts w:ascii="Calibri" w:hAnsi="Calibri"/>
          <w:i w:val="1"/>
        </w:rPr>
        <w:t xml:space="preserve">   Deberá designarse un titular y un suplente en cada una de las representaciones de los distintos sectores que integran el Consejo Municipal de Niñez, de conformidad a la reglament</w:t>
      </w:r>
      <w:r>
        <w:rPr>
          <w:rStyle w:val="C3"/>
          <w:rFonts w:ascii="Calibri" w:hAnsi="Calibri"/>
          <w:i w:val="1"/>
        </w:rPr>
        <w:t>ación.</w:t>
      </w:r>
    </w:p>
  </w:footnote>
</w:footnotes>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02A7DE73">
      <w:start w:val="0"/>
      <w:numFmt w:val="bullet"/>
      <w:suff w:val="tab"/>
      <w:lvlText w:val=""/>
      <w:lvlJc w:val="left"/>
      <w:pPr>
        <w:ind w:hanging="360" w:left="927"/>
      </w:pPr>
      <w:rPr>
        <w:rFonts w:ascii="Symbol" w:hAnsi="Symbol"/>
      </w:rPr>
    </w:lvl>
    <w:lvl w:ilvl="1" w:tplc="7EA99433">
      <w:start w:val="1"/>
      <w:numFmt w:val="bullet"/>
      <w:suff w:val="tab"/>
      <w:lvlText w:val="o"/>
      <w:lvlJc w:val="left"/>
      <w:pPr>
        <w:ind w:hanging="360" w:left="1647"/>
      </w:pPr>
      <w:rPr>
        <w:rFonts w:ascii="Courier New" w:hAnsi="Courier New"/>
      </w:rPr>
    </w:lvl>
    <w:lvl w:ilvl="2" w:tplc="100E6AA7">
      <w:start w:val="1"/>
      <w:numFmt w:val="bullet"/>
      <w:suff w:val="tab"/>
      <w:lvlText w:val=""/>
      <w:lvlJc w:val="left"/>
      <w:pPr>
        <w:ind w:hanging="360" w:left="2367"/>
      </w:pPr>
      <w:rPr>
        <w:rFonts w:ascii="Wingdings" w:hAnsi="Wingdings"/>
      </w:rPr>
    </w:lvl>
    <w:lvl w:ilvl="3" w:tplc="3DE4C4BA">
      <w:start w:val="1"/>
      <w:numFmt w:val="bullet"/>
      <w:suff w:val="tab"/>
      <w:lvlText w:val=""/>
      <w:lvlJc w:val="left"/>
      <w:pPr>
        <w:ind w:hanging="360" w:left="3087"/>
      </w:pPr>
      <w:rPr>
        <w:rFonts w:ascii="Symbol" w:hAnsi="Symbol"/>
      </w:rPr>
    </w:lvl>
    <w:lvl w:ilvl="4" w:tplc="60BF8B44">
      <w:start w:val="1"/>
      <w:numFmt w:val="bullet"/>
      <w:suff w:val="tab"/>
      <w:lvlText w:val="o"/>
      <w:lvlJc w:val="left"/>
      <w:pPr>
        <w:ind w:hanging="360" w:left="3807"/>
      </w:pPr>
      <w:rPr>
        <w:rFonts w:ascii="Courier New" w:hAnsi="Courier New"/>
      </w:rPr>
    </w:lvl>
    <w:lvl w:ilvl="5" w:tplc="2AEBADEA">
      <w:start w:val="1"/>
      <w:numFmt w:val="bullet"/>
      <w:suff w:val="tab"/>
      <w:lvlText w:val=""/>
      <w:lvlJc w:val="left"/>
      <w:pPr>
        <w:ind w:hanging="360" w:left="4527"/>
      </w:pPr>
      <w:rPr>
        <w:rFonts w:ascii="Wingdings" w:hAnsi="Wingdings"/>
      </w:rPr>
    </w:lvl>
    <w:lvl w:ilvl="6" w:tplc="2DACB2BF">
      <w:start w:val="1"/>
      <w:numFmt w:val="bullet"/>
      <w:suff w:val="tab"/>
      <w:lvlText w:val=""/>
      <w:lvlJc w:val="left"/>
      <w:pPr>
        <w:ind w:hanging="360" w:left="5247"/>
      </w:pPr>
      <w:rPr>
        <w:rFonts w:ascii="Symbol" w:hAnsi="Symbol"/>
      </w:rPr>
    </w:lvl>
    <w:lvl w:ilvl="7" w:tplc="11CDF6DD">
      <w:start w:val="1"/>
      <w:numFmt w:val="bullet"/>
      <w:suff w:val="tab"/>
      <w:lvlText w:val="o"/>
      <w:lvlJc w:val="left"/>
      <w:pPr>
        <w:ind w:hanging="360" w:left="5967"/>
      </w:pPr>
      <w:rPr>
        <w:rFonts w:ascii="Courier New" w:hAnsi="Courier New"/>
      </w:rPr>
    </w:lvl>
    <w:lvl w:ilvl="8" w:tplc="6FACB404">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D1B4343"/>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Letter"/>
      <w:suff w:val="tab"/>
      <w:lvlText w:val="%3)"/>
      <w:lvlJc w:val="left"/>
      <w:pPr>
        <w:ind w:hanging="360" w:left="2160"/>
        <w:tabs>
          <w:tab w:val="left" w:pos="2160" w:leader="none"/>
        </w:tabs>
      </w:pPr>
      <w:rPr/>
    </w:lvl>
    <w:lvl w:ilvl="3">
      <w:start w:val="1"/>
      <w:numFmt w:val="lowerLetter"/>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Letter"/>
      <w:suff w:val="tab"/>
      <w:lvlText w:val="%6)"/>
      <w:lvlJc w:val="left"/>
      <w:pPr>
        <w:ind w:hanging="360" w:left="4320"/>
        <w:tabs>
          <w:tab w:val="left" w:pos="4320" w:leader="none"/>
        </w:tabs>
      </w:pPr>
      <w:rPr/>
    </w:lvl>
    <w:lvl w:ilvl="6">
      <w:start w:val="1"/>
      <w:numFmt w:val="lowerLetter"/>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Letter"/>
      <w:suff w:val="tab"/>
      <w:lvlText w:val="%9)"/>
      <w:lvlJc w:val="left"/>
      <w:pPr>
        <w:ind w:hanging="360" w:left="6480"/>
        <w:tabs>
          <w:tab w:val="left" w:pos="6480" w:leader="none"/>
        </w:tabs>
      </w:pPr>
      <w:rPr/>
    </w:lvl>
  </w:abstractNum>
  <w:abstractNum w:abstractNumId="1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1">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2">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24F459C5"/>
    <w:multiLevelType w:val="hybridMultilevel"/>
    <w:lvl w:ilvl="0" w:tplc="01455317">
      <w:start w:val="0"/>
      <w:numFmt w:val="bullet"/>
      <w:suff w:val="tab"/>
      <w:lvlText w:val="-"/>
      <w:lvlJc w:val="left"/>
      <w:pPr>
        <w:ind w:hanging="360" w:left="720"/>
        <w:tabs>
          <w:tab w:val="left" w:pos="720" w:leader="none"/>
        </w:tabs>
      </w:pPr>
      <w:rPr>
        <w:rFonts w:ascii="Times New Roman" w:hAnsi="Times New Roman"/>
      </w:rPr>
    </w:lvl>
    <w:lvl w:ilvl="1" w:tplc="44F82AD3">
      <w:start w:val="1"/>
      <w:numFmt w:val="bullet"/>
      <w:suff w:val="tab"/>
      <w:lvlText w:val="o"/>
      <w:lvlJc w:val="left"/>
      <w:pPr>
        <w:ind w:hanging="360" w:left="1440"/>
        <w:tabs>
          <w:tab w:val="left" w:pos="1440" w:leader="none"/>
        </w:tabs>
      </w:pPr>
      <w:rPr>
        <w:rFonts w:ascii="Courier New" w:hAnsi="Courier New"/>
      </w:rPr>
    </w:lvl>
    <w:lvl w:ilvl="2" w:tplc="0C03D779">
      <w:start w:val="1"/>
      <w:numFmt w:val="bullet"/>
      <w:suff w:val="tab"/>
      <w:lvlText w:val=""/>
      <w:lvlJc w:val="left"/>
      <w:pPr>
        <w:ind w:hanging="360" w:left="2160"/>
        <w:tabs>
          <w:tab w:val="left" w:pos="2160" w:leader="none"/>
        </w:tabs>
      </w:pPr>
      <w:rPr>
        <w:rFonts w:ascii="Wingdings" w:hAnsi="Wingdings"/>
      </w:rPr>
    </w:lvl>
    <w:lvl w:ilvl="3" w:tplc="689BDCDA">
      <w:start w:val="1"/>
      <w:numFmt w:val="bullet"/>
      <w:suff w:val="tab"/>
      <w:lvlText w:val=""/>
      <w:lvlJc w:val="left"/>
      <w:pPr>
        <w:ind w:hanging="360" w:left="2880"/>
        <w:tabs>
          <w:tab w:val="left" w:pos="2880" w:leader="none"/>
        </w:tabs>
      </w:pPr>
      <w:rPr>
        <w:rFonts w:ascii="Symbol" w:hAnsi="Symbol"/>
      </w:rPr>
    </w:lvl>
    <w:lvl w:ilvl="4" w:tplc="0F02B770">
      <w:start w:val="1"/>
      <w:numFmt w:val="bullet"/>
      <w:suff w:val="tab"/>
      <w:lvlText w:val="o"/>
      <w:lvlJc w:val="left"/>
      <w:pPr>
        <w:ind w:hanging="360" w:left="3600"/>
        <w:tabs>
          <w:tab w:val="left" w:pos="3600" w:leader="none"/>
        </w:tabs>
      </w:pPr>
      <w:rPr>
        <w:rFonts w:ascii="Courier New" w:hAnsi="Courier New"/>
      </w:rPr>
    </w:lvl>
    <w:lvl w:ilvl="5" w:tplc="3B27BC18">
      <w:start w:val="1"/>
      <w:numFmt w:val="bullet"/>
      <w:suff w:val="tab"/>
      <w:lvlText w:val=""/>
      <w:lvlJc w:val="left"/>
      <w:pPr>
        <w:ind w:hanging="360" w:left="4320"/>
        <w:tabs>
          <w:tab w:val="left" w:pos="4320" w:leader="none"/>
        </w:tabs>
      </w:pPr>
      <w:rPr>
        <w:rFonts w:ascii="Wingdings" w:hAnsi="Wingdings"/>
      </w:rPr>
    </w:lvl>
    <w:lvl w:ilvl="6" w:tplc="61987351">
      <w:start w:val="1"/>
      <w:numFmt w:val="bullet"/>
      <w:suff w:val="tab"/>
      <w:lvlText w:val=""/>
      <w:lvlJc w:val="left"/>
      <w:pPr>
        <w:ind w:hanging="360" w:left="5040"/>
        <w:tabs>
          <w:tab w:val="left" w:pos="5040" w:leader="none"/>
        </w:tabs>
      </w:pPr>
      <w:rPr>
        <w:rFonts w:ascii="Symbol" w:hAnsi="Symbol"/>
      </w:rPr>
    </w:lvl>
    <w:lvl w:ilvl="7" w:tplc="269306D0">
      <w:start w:val="1"/>
      <w:numFmt w:val="bullet"/>
      <w:suff w:val="tab"/>
      <w:lvlText w:val="o"/>
      <w:lvlJc w:val="left"/>
      <w:pPr>
        <w:ind w:hanging="360" w:left="5760"/>
        <w:tabs>
          <w:tab w:val="left" w:pos="5760" w:leader="none"/>
        </w:tabs>
      </w:pPr>
      <w:rPr>
        <w:rFonts w:ascii="Courier New" w:hAnsi="Courier New"/>
      </w:rPr>
    </w:lvl>
    <w:lvl w:ilvl="8" w:tplc="6B976238">
      <w:start w:val="1"/>
      <w:numFmt w:val="bullet"/>
      <w:suff w:val="tab"/>
      <w:lvlText w:val=""/>
      <w:lvlJc w:val="left"/>
      <w:pPr>
        <w:ind w:hanging="360" w:left="6480"/>
        <w:tabs>
          <w:tab w:val="left" w:pos="6480" w:leader="none"/>
        </w:tabs>
      </w:pPr>
      <w:rPr>
        <w:rFonts w:ascii="Wingdings" w:hAnsi="Wingdings"/>
      </w:rPr>
    </w:lvl>
  </w:abstractNum>
  <w:abstractNum w:abstractNumId="14">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5">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6">
    <w:nsid w:val="3A700CB9"/>
    <w:multiLevelType w:val="hybridMultilevel"/>
    <w:lvl w:ilvl="0" w:tplc="1BB34346">
      <w:start w:val="1"/>
      <w:numFmt w:val="bullet"/>
      <w:suff w:val="tab"/>
      <w:lvlText w:val=""/>
      <w:lvlJc w:val="left"/>
      <w:pPr>
        <w:ind w:hanging="360" w:left="720"/>
        <w:tabs>
          <w:tab w:val="left" w:pos="720" w:leader="none"/>
        </w:tabs>
      </w:pPr>
      <w:rPr>
        <w:rFonts w:ascii="Symbol" w:hAnsi="Symbol"/>
      </w:rPr>
    </w:lvl>
    <w:lvl w:ilvl="1" w:tplc="5880DD00">
      <w:start w:val="1"/>
      <w:numFmt w:val="bullet"/>
      <w:suff w:val="tab"/>
      <w:lvlText w:val="o"/>
      <w:lvlJc w:val="left"/>
      <w:pPr>
        <w:ind w:hanging="360" w:left="1440"/>
        <w:tabs>
          <w:tab w:val="left" w:pos="1440" w:leader="none"/>
        </w:tabs>
      </w:pPr>
      <w:rPr>
        <w:rFonts w:ascii="Courier New" w:hAnsi="Courier New"/>
      </w:rPr>
    </w:lvl>
    <w:lvl w:ilvl="2" w:tplc="0353417B">
      <w:start w:val="1"/>
      <w:numFmt w:val="bullet"/>
      <w:suff w:val="tab"/>
      <w:lvlText w:val=""/>
      <w:lvlJc w:val="left"/>
      <w:pPr>
        <w:ind w:hanging="360" w:left="2160"/>
        <w:tabs>
          <w:tab w:val="left" w:pos="2160" w:leader="none"/>
        </w:tabs>
      </w:pPr>
      <w:rPr>
        <w:rFonts w:ascii="Wingdings" w:hAnsi="Wingdings"/>
      </w:rPr>
    </w:lvl>
    <w:lvl w:ilvl="3" w:tplc="02126969">
      <w:start w:val="1"/>
      <w:numFmt w:val="bullet"/>
      <w:suff w:val="tab"/>
      <w:lvlText w:val=""/>
      <w:lvlJc w:val="left"/>
      <w:pPr>
        <w:ind w:hanging="360" w:left="2880"/>
        <w:tabs>
          <w:tab w:val="left" w:pos="2880" w:leader="none"/>
        </w:tabs>
      </w:pPr>
      <w:rPr>
        <w:rFonts w:ascii="Symbol" w:hAnsi="Symbol"/>
      </w:rPr>
    </w:lvl>
    <w:lvl w:ilvl="4" w:tplc="2833F1AA">
      <w:start w:val="1"/>
      <w:numFmt w:val="bullet"/>
      <w:suff w:val="tab"/>
      <w:lvlText w:val="o"/>
      <w:lvlJc w:val="left"/>
      <w:pPr>
        <w:ind w:hanging="360" w:left="3600"/>
        <w:tabs>
          <w:tab w:val="left" w:pos="3600" w:leader="none"/>
        </w:tabs>
      </w:pPr>
      <w:rPr>
        <w:rFonts w:ascii="Courier New" w:hAnsi="Courier New"/>
      </w:rPr>
    </w:lvl>
    <w:lvl w:ilvl="5" w:tplc="6A52B5E2">
      <w:start w:val="1"/>
      <w:numFmt w:val="bullet"/>
      <w:suff w:val="tab"/>
      <w:lvlText w:val=""/>
      <w:lvlJc w:val="left"/>
      <w:pPr>
        <w:ind w:hanging="360" w:left="4320"/>
        <w:tabs>
          <w:tab w:val="left" w:pos="4320" w:leader="none"/>
        </w:tabs>
      </w:pPr>
      <w:rPr>
        <w:rFonts w:ascii="Wingdings" w:hAnsi="Wingdings"/>
      </w:rPr>
    </w:lvl>
    <w:lvl w:ilvl="6" w:tplc="61C743EC">
      <w:start w:val="1"/>
      <w:numFmt w:val="bullet"/>
      <w:suff w:val="tab"/>
      <w:lvlText w:val=""/>
      <w:lvlJc w:val="left"/>
      <w:pPr>
        <w:ind w:hanging="360" w:left="5040"/>
        <w:tabs>
          <w:tab w:val="left" w:pos="5040" w:leader="none"/>
        </w:tabs>
      </w:pPr>
      <w:rPr>
        <w:rFonts w:ascii="Symbol" w:hAnsi="Symbol"/>
      </w:rPr>
    </w:lvl>
    <w:lvl w:ilvl="7" w:tplc="368692A6">
      <w:start w:val="1"/>
      <w:numFmt w:val="bullet"/>
      <w:suff w:val="tab"/>
      <w:lvlText w:val="o"/>
      <w:lvlJc w:val="left"/>
      <w:pPr>
        <w:ind w:hanging="360" w:left="5760"/>
        <w:tabs>
          <w:tab w:val="left" w:pos="5760" w:leader="none"/>
        </w:tabs>
      </w:pPr>
      <w:rPr>
        <w:rFonts w:ascii="Courier New" w:hAnsi="Courier New"/>
      </w:rPr>
    </w:lvl>
    <w:lvl w:ilvl="8" w:tplc="1B88B005">
      <w:start w:val="1"/>
      <w:numFmt w:val="bullet"/>
      <w:suff w:val="tab"/>
      <w:lvlText w:val=""/>
      <w:lvlJc w:val="left"/>
      <w:pPr>
        <w:ind w:hanging="360" w:left="6480"/>
        <w:tabs>
          <w:tab w:val="left" w:pos="6480" w:leader="none"/>
        </w:tabs>
      </w:pPr>
      <w:rPr>
        <w:rFonts w:ascii="Wingdings" w:hAnsi="Wingdings"/>
      </w:rPr>
    </w:lvl>
  </w:abstractNum>
  <w:abstractNum w:abstractNumId="17">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8">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9">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0">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1">
    <w:nsid w:val="5A042302"/>
    <w:multiLevelType w:val="hybridMultilevel"/>
    <w:lvl w:ilvl="0" w:tplc="61F6FAE5">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721909B7"/>
    <w:multiLevelType w:val="hybridMultilevel"/>
    <w:lvl w:ilvl="0">
      <w:start w:val="1"/>
      <w:numFmt w:val="lowerLetter"/>
      <w:suff w:val="tab"/>
      <w:lvlText w:val="%1)"/>
      <w:lvlJc w:val="left"/>
      <w:pPr>
        <w:ind w:hanging="360" w:left="720"/>
        <w:tabs>
          <w:tab w:val="left" w:pos="720" w:leader="none"/>
        </w:tabs>
      </w:pPr>
      <w:rPr/>
    </w:lvl>
    <w:lvl w:ilvl="1" w:tplc="46D2166F">
      <w:start w:val="1"/>
      <w:numFmt w:val="bullet"/>
      <w:suff w:val="tab"/>
      <w:lvlText w:val="o"/>
      <w:lvlJc w:val="left"/>
      <w:pPr>
        <w:ind w:hanging="360" w:left="1440"/>
        <w:tabs>
          <w:tab w:val="left" w:pos="1440" w:leader="none"/>
        </w:tabs>
      </w:pPr>
      <w:rPr>
        <w:rFonts w:ascii="Courier New" w:hAnsi="Courier New"/>
      </w:rPr>
    </w:lvl>
    <w:lvl w:ilvl="2" w:tplc="64EEDEAF">
      <w:start w:val="1"/>
      <w:numFmt w:val="bullet"/>
      <w:suff w:val="tab"/>
      <w:lvlText w:val=""/>
      <w:lvlJc w:val="left"/>
      <w:pPr>
        <w:ind w:hanging="360" w:left="2160"/>
        <w:tabs>
          <w:tab w:val="left" w:pos="2160" w:leader="none"/>
        </w:tabs>
      </w:pPr>
      <w:rPr>
        <w:rFonts w:ascii="Wingdings" w:hAnsi="Wingdings"/>
      </w:rPr>
    </w:lvl>
    <w:lvl w:ilvl="3" w:tplc="7CBA647E">
      <w:start w:val="1"/>
      <w:numFmt w:val="bullet"/>
      <w:suff w:val="tab"/>
      <w:lvlText w:val=""/>
      <w:lvlJc w:val="left"/>
      <w:pPr>
        <w:ind w:hanging="360" w:left="2880"/>
        <w:tabs>
          <w:tab w:val="left" w:pos="2880" w:leader="none"/>
        </w:tabs>
      </w:pPr>
      <w:rPr>
        <w:rFonts w:ascii="Symbol" w:hAnsi="Symbol"/>
      </w:rPr>
    </w:lvl>
    <w:lvl w:ilvl="4" w:tplc="189C3909">
      <w:start w:val="1"/>
      <w:numFmt w:val="bullet"/>
      <w:suff w:val="tab"/>
      <w:lvlText w:val="o"/>
      <w:lvlJc w:val="left"/>
      <w:pPr>
        <w:ind w:hanging="360" w:left="3600"/>
        <w:tabs>
          <w:tab w:val="left" w:pos="3600" w:leader="none"/>
        </w:tabs>
      </w:pPr>
      <w:rPr>
        <w:rFonts w:ascii="Courier New" w:hAnsi="Courier New"/>
      </w:rPr>
    </w:lvl>
    <w:lvl w:ilvl="5" w:tplc="412EC331">
      <w:start w:val="1"/>
      <w:numFmt w:val="bullet"/>
      <w:suff w:val="tab"/>
      <w:lvlText w:val=""/>
      <w:lvlJc w:val="left"/>
      <w:pPr>
        <w:ind w:hanging="360" w:left="4320"/>
        <w:tabs>
          <w:tab w:val="left" w:pos="4320" w:leader="none"/>
        </w:tabs>
      </w:pPr>
      <w:rPr>
        <w:rFonts w:ascii="Wingdings" w:hAnsi="Wingdings"/>
      </w:rPr>
    </w:lvl>
    <w:lvl w:ilvl="6" w:tplc="0BDF3437">
      <w:start w:val="1"/>
      <w:numFmt w:val="bullet"/>
      <w:suff w:val="tab"/>
      <w:lvlText w:val=""/>
      <w:lvlJc w:val="left"/>
      <w:pPr>
        <w:ind w:hanging="360" w:left="5040"/>
        <w:tabs>
          <w:tab w:val="left" w:pos="5040" w:leader="none"/>
        </w:tabs>
      </w:pPr>
      <w:rPr>
        <w:rFonts w:ascii="Symbol" w:hAnsi="Symbol"/>
      </w:rPr>
    </w:lvl>
    <w:lvl w:ilvl="7" w:tplc="49372040">
      <w:start w:val="1"/>
      <w:numFmt w:val="bullet"/>
      <w:suff w:val="tab"/>
      <w:lvlText w:val="o"/>
      <w:lvlJc w:val="left"/>
      <w:pPr>
        <w:ind w:hanging="360" w:left="5760"/>
        <w:tabs>
          <w:tab w:val="left" w:pos="5760" w:leader="none"/>
        </w:tabs>
      </w:pPr>
      <w:rPr>
        <w:rFonts w:ascii="Courier New" w:hAnsi="Courier New"/>
      </w:rPr>
    </w:lvl>
    <w:lvl w:ilvl="8" w:tplc="0919927E">
      <w:start w:val="1"/>
      <w:numFmt w:val="bullet"/>
      <w:suff w:val="tab"/>
      <w:lvlText w:val=""/>
      <w:lvlJc w:val="left"/>
      <w:pPr>
        <w:ind w:hanging="360" w:left="6480"/>
        <w:tabs>
          <w:tab w:val="left" w:pos="6480" w:leader="none"/>
        </w:tabs>
      </w:pPr>
      <w:rPr>
        <w:rFonts w:ascii="Wingdings" w:hAnsi="Wingdings"/>
      </w:rPr>
    </w:lvl>
  </w:abstractNum>
  <w:abstractNum w:abstractNumId="3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90922E2"/>
    <w:multiLevelType w:val="hybridMultilevel"/>
    <w:lvl w:ilvl="0">
      <w:start w:val="1"/>
      <w:numFmt w:val="lowerLetter"/>
      <w:suff w:val="tab"/>
      <w:lvlText w:val="%1)"/>
      <w:lvlJc w:val="left"/>
      <w:pPr>
        <w:ind w:hanging="360" w:left="720"/>
        <w:tabs>
          <w:tab w:val="left" w:pos="720" w:leader="none"/>
        </w:tabs>
      </w:pPr>
      <w:rPr/>
    </w:lvl>
    <w:lvl w:ilvl="1" w:tplc="2A94F45C">
      <w:start w:val="1"/>
      <w:numFmt w:val="bullet"/>
      <w:suff w:val="tab"/>
      <w:lvlText w:val=""/>
      <w:lvlJc w:val="left"/>
      <w:pPr>
        <w:ind w:hanging="360" w:left="1440"/>
        <w:tabs>
          <w:tab w:val="left" w:pos="1440" w:leader="none"/>
        </w:tabs>
      </w:pPr>
      <w:rPr>
        <w:rFonts w:ascii="Symbol" w:hAnsi="Symbol"/>
      </w:rPr>
    </w:lvl>
    <w:lvl w:ilvl="2">
      <w:start w:val="1"/>
      <w:numFmt w:val="lowerLetter"/>
      <w:suff w:val="tab"/>
      <w:lvlText w:val="%3."/>
      <w:lvlJc w:val="left"/>
      <w:pPr>
        <w:ind w:hanging="375" w:left="2355"/>
        <w:tabs>
          <w:tab w:val="left" w:pos="2355"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0"/>
  </w:num>
  <w:num w:numId="2">
    <w:abstractNumId w:val="10"/>
  </w:num>
  <w:num w:numId="3">
    <w:abstractNumId w:val="14"/>
  </w:num>
  <w:num w:numId="4">
    <w:abstractNumId w:val="24"/>
  </w:num>
  <w:num w:numId="5">
    <w:abstractNumId w:val="28"/>
  </w:num>
  <w:num w:numId="6">
    <w:abstractNumId w:val="7"/>
  </w:num>
  <w:num w:numId="7">
    <w:abstractNumId w:val="22"/>
  </w:num>
  <w:num w:numId="8">
    <w:abstractNumId w:val="3"/>
  </w:num>
  <w:num w:numId="9">
    <w:abstractNumId w:val="6"/>
  </w:num>
  <w:num w:numId="10">
    <w:abstractNumId w:val="8"/>
  </w:num>
  <w:num w:numId="11">
    <w:abstractNumId w:val="18"/>
  </w:num>
  <w:num w:numId="12">
    <w:abstractNumId w:val="19"/>
  </w:num>
  <w:num w:numId="13">
    <w:abstractNumId w:val="34"/>
  </w:num>
  <w:num w:numId="14">
    <w:abstractNumId w:val="27"/>
  </w:num>
  <w:num w:numId="15">
    <w:abstractNumId w:val="26"/>
  </w:num>
  <w:num w:numId="16">
    <w:abstractNumId w:val="16"/>
  </w:num>
  <w:num w:numId="17">
    <w:abstractNumId w:val="17"/>
  </w:num>
  <w:num w:numId="18">
    <w:abstractNumId w:val="30"/>
  </w:num>
  <w:num w:numId="19">
    <w:abstractNumId w:val="11"/>
  </w:num>
  <w:num w:numId="20">
    <w:abstractNumId w:val="4"/>
  </w:num>
  <w:num w:numId="21">
    <w:abstractNumId w:val="1"/>
  </w:num>
  <w:num w:numId="22">
    <w:abstractNumId w:val="21"/>
  </w:num>
  <w:num w:numId="23">
    <w:abstractNumId w:val="31"/>
  </w:num>
  <w:num w:numId="24">
    <w:abstractNumId w:val="25"/>
  </w:num>
  <w:num w:numId="25">
    <w:abstractNumId w:val="12"/>
  </w:num>
  <w:num w:numId="26">
    <w:abstractNumId w:val="33"/>
  </w:num>
  <w:num w:numId="27">
    <w:abstractNumId w:val="2"/>
  </w:num>
  <w:num w:numId="28">
    <w:abstractNumId w:val="23"/>
  </w:num>
  <w:num w:numId="29">
    <w:abstractNumId w:val="5"/>
  </w:num>
  <w:num w:numId="30">
    <w:abstractNumId w:val="15"/>
  </w:num>
  <w:num w:numId="31">
    <w:abstractNumId w:val="0"/>
  </w:num>
  <w:num w:numId="32">
    <w:abstractNumId w:val="13"/>
  </w:num>
  <w:num w:numId="33">
    <w:abstractNumId w:val="32"/>
  </w:num>
  <w:num w:numId="34">
    <w:abstractNumId w:val="29"/>
  </w:num>
  <w:num w:numId="35">
    <w:abstractNumId w:val="9"/>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nota pie"/>
    <w:basedOn w:val="P0"/>
    <w:next w:val="P30"/>
    <w:link w:val="C12"/>
    <w:pPr/>
    <w:rPr>
      <w:sz w:val="20"/>
    </w:rPr>
  </w:style>
  <w:style w:type="paragraph" w:styleId="P31">
    <w:name w:val="Texto independiente primera sangría"/>
    <w:basedOn w:val="P11"/>
    <w:next w:val="P31"/>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1"/>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Texto nota pie Car"/>
    <w:link w:val="P30"/>
    <w:rPr>
      <w:sz w:val="20"/>
    </w:rPr>
  </w:style>
  <w:style w:type="character" w:styleId="C13">
    <w:name w:val="Ref. de nota al pie"/>
    <w:rPr>
      <w:vertAlign w:val="superscript"/>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nt1" Type="http://schemas.openxmlformats.org/officeDocument/2006/relationships/footnotes" Target="foot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2012-04-20T11:33:00Z</dcterms:created>
  <cp:lastModifiedBy>Ethan Puglia</cp:lastModifiedBy>
  <cp:lastPrinted>2012-04-20T15:06:00Z</cp:lastPrinted>
  <dcterms:modified xsi:type="dcterms:W3CDTF">2019-03-28T17:33:02Z</dcterms:modified>
  <cp:revision>13</cp:revision>
  <dc:title>PROYECTO DE ORDENANZA VIOLENCIA FAMILIAR</dc:title>
</cp:coreProperties>
</file>