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C91704" Type="http://schemas.openxmlformats.org/officeDocument/2006/relationships/officeDocument" Target="/word/document.xml" /><Relationship Id="coreR63C917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9272 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289/I/12 iniciado por Secretaría de Educación y Extensión Cultural;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Secretaría de Educación y Extensión Cultural inicia el expediente poniendo a consideración del Sr. Intendente un anteproyecto de ordenanza que regule el aspecto económico de los cursos y talleres que dependen de esa área;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Intendente eleva a este Concejo el Proyecto de Ordenanza y establece el costo de inscripción para la realización de Cursos y Talleres Municipales, regulando además aquellos que dependan de la Universidad Nacional de Córdoba;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ánimo de ordenar y transparentar la realización de estos cursos, esta gestión cree conveniente regular los pagos que los concurrentes de estos cursos hagan al Estado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Abril de 2012.-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APROBAR</w:t>
      </w:r>
      <w:r>
        <w:rPr>
          <w:rStyle w:val="C3"/>
          <w:rFonts w:ascii="Courier New" w:hAnsi="Courier New"/>
        </w:rPr>
        <w:t xml:space="preserve"> en general el Proyecto de Ordenanza del Departamento Ejecutivo y en particular disponiendo afectar los montos que se recauden a la Secretaría de Educación y Extensión Cultural.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061B35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BAA5D0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981B16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04E635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4EDDE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696FF1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4B62F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F7803A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72EEC5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842C2F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1369B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BCDEC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BC2BD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4A2BA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C558B8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6B94C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9B84F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48D7F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09576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675A3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BBB4C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1D80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38F9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62FEE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B5B7D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FBE06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BDD6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48AEE9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2012-04-19T15:00:00Z</dcterms:created>
  <cp:lastModifiedBy>Ethan Puglia</cp:lastModifiedBy>
  <cp:lastPrinted>2012-04-16T16:43:00Z</cp:lastPrinted>
  <dcterms:modified xsi:type="dcterms:W3CDTF">2019-03-28T17:33:02Z</dcterms:modified>
  <cp:revision>5</cp:revision>
  <dc:title>PROYECTO DE ORDENANZA VIOLENCIA FAMILIAR</dc:title>
</cp:coreProperties>
</file>