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09D92B" Type="http://schemas.openxmlformats.org/officeDocument/2006/relationships/officeDocument" Target="/word/document.xml" /><Relationship Id="coreR5D09D92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9275 </w:t>
      </w:r>
    </w:p>
    <w:p/>
    <w:p/>
    <w:p>
      <w:pPr>
        <w:ind w:hanging="426" w:left="426"/>
        <w:jc w:val="both"/>
        <w:rPr>
          <w:rStyle w:val="C3"/>
          <w:rFonts w:ascii="Courier New" w:hAnsi="Courier New"/>
        </w:rPr>
      </w:pPr>
      <w:r>
        <w:rPr>
          <w:rStyle w:val="C3"/>
          <w:rFonts w:ascii="Courier New" w:hAnsi="Courier New"/>
        </w:rPr>
        <w:t>Visto: El Expediente Nº 464/03 iniciado por la Sra. María del Carmen González, solicitando visación de previa;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en el mismo a fojas 15, surge que el inmueble en cuestión, nomenclatura catastral 3-1-072-020 lote Of. 20 de la Mza. Oficial 160, ha incurrido en una invasión a la vía pública ya que el ancho de la calle Bahía Blanca en ese sector es de 20 metros y no de 14 metros;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fojas 17 surge que María Del Carmen González comparece ante el Poder Judicial de la Provincia de Córdoba y presenta demanda de usucapión sobre el lote en cuestión;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fojas 22 María Del Carmen González solicita al Presidente del Honorable Concejo Deliberante la solución al problema ya que se le acaba de informar que la construcción de su vivienda está en un espacio público y que las medidas del lote fueron tomadas por la Municipalidad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fojas 23 el Área de Planeamiento y Patrimonio dependiente de la Secretaria de Obras Publicas opina realizar un Peritaje Técnico Municipal dentro de otras consideraciones;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fojas 27 Asesoría Letrada emite el informe Nº 06/11 donde dictamina que el plano de mensura para usucapión de fs.3-6 y 7 adolece de un serio error, convalidado por la intervención de la Oficina de Catastro a fs. 3 vta. y 4;</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las dos soluciones técnicas sugeridas por Asesoría Letrada, la Comisión de Obras y Servicios Públicos cree conveniente adoptar la modificación en la traza de la calle Bahía Blanca llevado la misma de 20 metros a 14 metros, con desafectación del dominio público de la superficie invadida y cesión a la requirente- Haciendo extensiva esta decisión al lote Of.21 de la Mza. Oficial 160 para uniformar la traza de la calle Bahía Blanca;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esta solución la Sra. González no vería afectada la construcción de su vivienda;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Comisión de Obras y Servicios Públicos ha tenido reuniones con los propietarios de ambos lotes para consensuar una solución a este problema, quienes han manifestado buena predisposición para solucionar la situación planteada;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sugiriendo una solución al problema, aprobado por unanimidad, en sesión ordinaria del día 25 de abril de 2012</w:t>
      </w:r>
    </w:p>
    <w:p>
      <w:pPr>
        <w:ind w:left="426"/>
        <w:jc w:val="both"/>
        <w:rPr>
          <w:rStyle w:val="C3"/>
          <w:rFonts w:ascii="Courier New" w:hAnsi="Courier New"/>
        </w:rPr>
      </w:pPr>
    </w:p>
    <w:p>
      <w:pPr>
        <w:jc w:val="both"/>
        <w:rPr>
          <w:rStyle w:val="C3"/>
          <w:rFonts w:ascii="Courier New" w:hAnsi="Courier New"/>
        </w:rPr>
      </w:pPr>
    </w:p>
    <w:p>
      <w:pPr>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DESAFECTAR </w:t>
      </w:r>
      <w:r>
        <w:rPr>
          <w:rStyle w:val="C3"/>
          <w:rFonts w:ascii="Courier New" w:hAnsi="Courier New"/>
        </w:rPr>
        <w:t>del Dominio Público Municipal y Afectar al Dominio Privado la superficie resultante en los lotes OF. 20 y 21 de la MZA Of.160 para modificar la traza de la calle Bahía Blanca llevando la misma de veinte (20) metros a catorce (149) metros, tal cual se detalla en el parcelario que se adjunta y forma parte de la presente.</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DEBERÁ</w:t>
      </w:r>
      <w:r>
        <w:rPr>
          <w:rStyle w:val="C3"/>
          <w:rFonts w:ascii="Courier New" w:hAnsi="Courier New"/>
          <w:b w:val="1"/>
        </w:rPr>
        <w:t xml:space="preserve"> </w:t>
      </w:r>
      <w:r>
        <w:rPr>
          <w:rStyle w:val="C3"/>
          <w:rFonts w:ascii="Courier New" w:hAnsi="Courier New"/>
        </w:rPr>
        <w:t>el Departamento Ejecutivo por medio de las Áreas Técnicas correspondientes, solicitar una tasación oficial municipal del metro cuadrado de terreno de los inmuebles en cuestión.</w:t>
      </w:r>
    </w:p>
    <w:p>
      <w:pPr>
        <w:ind w:hanging="426" w:left="426"/>
        <w:jc w:val="both"/>
        <w:rPr>
          <w:rStyle w:val="C3"/>
          <w:rFonts w:ascii="Courier New" w:hAnsi="Courier New"/>
          <w:b w:val="1"/>
          <w:u w:val="single"/>
        </w:rPr>
      </w:pPr>
      <w:r>
        <w:rPr>
          <w:rStyle w:val="C3"/>
          <w:rFonts w:ascii="Courier New" w:hAnsi="Courier New"/>
          <w:b w:val="1"/>
          <w:u w:val="single"/>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AUTORÍZASE </w:t>
      </w:r>
      <w:r>
        <w:rPr>
          <w:rStyle w:val="C3"/>
          <w:rFonts w:ascii="Courier New" w:hAnsi="Courier New"/>
        </w:rPr>
        <w:t>al Departamento Ejecutivo a celebrar Convenio de Compraventa con los dos propietarios, en relación a la superficie resultante y con la tasación estipulada en el art. 2 , facilitando la operación con un plan de pagos si fuere necesario.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DEBERÁ</w:t>
      </w:r>
      <w:r>
        <w:rPr>
          <w:rStyle w:val="C3"/>
          <w:rFonts w:ascii="Courier New" w:hAnsi="Courier New"/>
          <w:b w:val="1"/>
        </w:rPr>
        <w:t>N</w:t>
      </w:r>
      <w:r>
        <w:rPr>
          <w:rStyle w:val="C3"/>
          <w:rFonts w:ascii="Courier New" w:hAnsi="Courier New"/>
        </w:rPr>
        <w:t xml:space="preserve"> ambos propietarios confeccionar un nuevo plano de mesura que se atenga a la realidad de situación cartográfica y registrarse a nivel municipal y provincial en debida forma.</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DEBER</w:t>
      </w:r>
      <w:r>
        <w:rPr>
          <w:rStyle w:val="C3"/>
          <w:rFonts w:ascii="Courier New" w:hAnsi="Courier New"/>
          <w:b w:val="1"/>
        </w:rPr>
        <w:t>Á</w:t>
      </w:r>
      <w:r>
        <w:rPr>
          <w:rStyle w:val="C3"/>
          <w:rFonts w:ascii="Courier New" w:hAnsi="Courier New"/>
        </w:rPr>
        <w:t xml:space="preserve"> el Departamento Ejecutivo actualizar la cuenta catastral correspondiente a los fines de que los beneficiarios puedan abonar las Tasas Municipales como corresponde.</w:t>
      </w:r>
    </w:p>
    <w:p>
      <w:pPr>
        <w:ind w:hanging="426" w:left="426"/>
        <w:jc w:val="both"/>
        <w:rPr>
          <w:rStyle w:val="C3"/>
          <w:rFonts w:ascii="Courier New" w:hAnsi="Courier New"/>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VEINTICINCO DÍAS DEL MES ABRIL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841D614">
      <w:start w:val="0"/>
      <w:numFmt w:val="bullet"/>
      <w:suff w:val="tab"/>
      <w:lvlText w:val=""/>
      <w:lvlJc w:val="left"/>
      <w:pPr>
        <w:ind w:hanging="360" w:left="927"/>
      </w:pPr>
      <w:rPr>
        <w:rFonts w:ascii="Symbol" w:hAnsi="Symbol"/>
      </w:rPr>
    </w:lvl>
    <w:lvl w:ilvl="1" w:tplc="50264E62">
      <w:start w:val="1"/>
      <w:numFmt w:val="bullet"/>
      <w:suff w:val="tab"/>
      <w:lvlText w:val="o"/>
      <w:lvlJc w:val="left"/>
      <w:pPr>
        <w:ind w:hanging="360" w:left="1647"/>
      </w:pPr>
      <w:rPr>
        <w:rFonts w:ascii="Courier New" w:hAnsi="Courier New"/>
      </w:rPr>
    </w:lvl>
    <w:lvl w:ilvl="2" w:tplc="7D29EBF7">
      <w:start w:val="1"/>
      <w:numFmt w:val="bullet"/>
      <w:suff w:val="tab"/>
      <w:lvlText w:val=""/>
      <w:lvlJc w:val="left"/>
      <w:pPr>
        <w:ind w:hanging="360" w:left="2367"/>
      </w:pPr>
      <w:rPr>
        <w:rFonts w:ascii="Wingdings" w:hAnsi="Wingdings"/>
      </w:rPr>
    </w:lvl>
    <w:lvl w:ilvl="3" w:tplc="7F6A3BA4">
      <w:start w:val="1"/>
      <w:numFmt w:val="bullet"/>
      <w:suff w:val="tab"/>
      <w:lvlText w:val=""/>
      <w:lvlJc w:val="left"/>
      <w:pPr>
        <w:ind w:hanging="360" w:left="3087"/>
      </w:pPr>
      <w:rPr>
        <w:rFonts w:ascii="Symbol" w:hAnsi="Symbol"/>
      </w:rPr>
    </w:lvl>
    <w:lvl w:ilvl="4" w:tplc="322A405C">
      <w:start w:val="1"/>
      <w:numFmt w:val="bullet"/>
      <w:suff w:val="tab"/>
      <w:lvlText w:val="o"/>
      <w:lvlJc w:val="left"/>
      <w:pPr>
        <w:ind w:hanging="360" w:left="3807"/>
      </w:pPr>
      <w:rPr>
        <w:rFonts w:ascii="Courier New" w:hAnsi="Courier New"/>
      </w:rPr>
    </w:lvl>
    <w:lvl w:ilvl="5" w:tplc="41ED21E1">
      <w:start w:val="1"/>
      <w:numFmt w:val="bullet"/>
      <w:suff w:val="tab"/>
      <w:lvlText w:val=""/>
      <w:lvlJc w:val="left"/>
      <w:pPr>
        <w:ind w:hanging="360" w:left="4527"/>
      </w:pPr>
      <w:rPr>
        <w:rFonts w:ascii="Wingdings" w:hAnsi="Wingdings"/>
      </w:rPr>
    </w:lvl>
    <w:lvl w:ilvl="6" w:tplc="5E7BA1C0">
      <w:start w:val="1"/>
      <w:numFmt w:val="bullet"/>
      <w:suff w:val="tab"/>
      <w:lvlText w:val=""/>
      <w:lvlJc w:val="left"/>
      <w:pPr>
        <w:ind w:hanging="360" w:left="5247"/>
      </w:pPr>
      <w:rPr>
        <w:rFonts w:ascii="Symbol" w:hAnsi="Symbol"/>
      </w:rPr>
    </w:lvl>
    <w:lvl w:ilvl="7" w:tplc="5812DE60">
      <w:start w:val="1"/>
      <w:numFmt w:val="bullet"/>
      <w:suff w:val="tab"/>
      <w:lvlText w:val="o"/>
      <w:lvlJc w:val="left"/>
      <w:pPr>
        <w:ind w:hanging="360" w:left="5967"/>
      </w:pPr>
      <w:rPr>
        <w:rFonts w:ascii="Courier New" w:hAnsi="Courier New"/>
      </w:rPr>
    </w:lvl>
    <w:lvl w:ilvl="8" w:tplc="6399CF2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7B16612">
      <w:start w:val="0"/>
      <w:numFmt w:val="bullet"/>
      <w:suff w:val="tab"/>
      <w:lvlText w:val="-"/>
      <w:lvlJc w:val="left"/>
      <w:pPr>
        <w:ind w:hanging="360" w:left="720"/>
        <w:tabs>
          <w:tab w:val="left" w:pos="720" w:leader="none"/>
        </w:tabs>
      </w:pPr>
      <w:rPr>
        <w:rFonts w:ascii="Times New Roman" w:hAnsi="Times New Roman"/>
      </w:rPr>
    </w:lvl>
    <w:lvl w:ilvl="1" w:tplc="3FA24184">
      <w:start w:val="1"/>
      <w:numFmt w:val="bullet"/>
      <w:suff w:val="tab"/>
      <w:lvlText w:val="o"/>
      <w:lvlJc w:val="left"/>
      <w:pPr>
        <w:ind w:hanging="360" w:left="1440"/>
        <w:tabs>
          <w:tab w:val="left" w:pos="1440" w:leader="none"/>
        </w:tabs>
      </w:pPr>
      <w:rPr>
        <w:rFonts w:ascii="Courier New" w:hAnsi="Courier New"/>
      </w:rPr>
    </w:lvl>
    <w:lvl w:ilvl="2" w:tplc="30281953">
      <w:start w:val="1"/>
      <w:numFmt w:val="bullet"/>
      <w:suff w:val="tab"/>
      <w:lvlText w:val=""/>
      <w:lvlJc w:val="left"/>
      <w:pPr>
        <w:ind w:hanging="360" w:left="2160"/>
        <w:tabs>
          <w:tab w:val="left" w:pos="2160" w:leader="none"/>
        </w:tabs>
      </w:pPr>
      <w:rPr>
        <w:rFonts w:ascii="Wingdings" w:hAnsi="Wingdings"/>
      </w:rPr>
    </w:lvl>
    <w:lvl w:ilvl="3" w:tplc="37BEA25F">
      <w:start w:val="1"/>
      <w:numFmt w:val="bullet"/>
      <w:suff w:val="tab"/>
      <w:lvlText w:val=""/>
      <w:lvlJc w:val="left"/>
      <w:pPr>
        <w:ind w:hanging="360" w:left="2880"/>
        <w:tabs>
          <w:tab w:val="left" w:pos="2880" w:leader="none"/>
        </w:tabs>
      </w:pPr>
      <w:rPr>
        <w:rFonts w:ascii="Symbol" w:hAnsi="Symbol"/>
      </w:rPr>
    </w:lvl>
    <w:lvl w:ilvl="4" w:tplc="5E3E7F91">
      <w:start w:val="1"/>
      <w:numFmt w:val="bullet"/>
      <w:suff w:val="tab"/>
      <w:lvlText w:val="o"/>
      <w:lvlJc w:val="left"/>
      <w:pPr>
        <w:ind w:hanging="360" w:left="3600"/>
        <w:tabs>
          <w:tab w:val="left" w:pos="3600" w:leader="none"/>
        </w:tabs>
      </w:pPr>
      <w:rPr>
        <w:rFonts w:ascii="Courier New" w:hAnsi="Courier New"/>
      </w:rPr>
    </w:lvl>
    <w:lvl w:ilvl="5" w:tplc="02BDB769">
      <w:start w:val="1"/>
      <w:numFmt w:val="bullet"/>
      <w:suff w:val="tab"/>
      <w:lvlText w:val=""/>
      <w:lvlJc w:val="left"/>
      <w:pPr>
        <w:ind w:hanging="360" w:left="4320"/>
        <w:tabs>
          <w:tab w:val="left" w:pos="4320" w:leader="none"/>
        </w:tabs>
      </w:pPr>
      <w:rPr>
        <w:rFonts w:ascii="Wingdings" w:hAnsi="Wingdings"/>
      </w:rPr>
    </w:lvl>
    <w:lvl w:ilvl="6" w:tplc="1EE710D8">
      <w:start w:val="1"/>
      <w:numFmt w:val="bullet"/>
      <w:suff w:val="tab"/>
      <w:lvlText w:val=""/>
      <w:lvlJc w:val="left"/>
      <w:pPr>
        <w:ind w:hanging="360" w:left="5040"/>
        <w:tabs>
          <w:tab w:val="left" w:pos="5040" w:leader="none"/>
        </w:tabs>
      </w:pPr>
      <w:rPr>
        <w:rFonts w:ascii="Symbol" w:hAnsi="Symbol"/>
      </w:rPr>
    </w:lvl>
    <w:lvl w:ilvl="7" w:tplc="6A8B67E2">
      <w:start w:val="1"/>
      <w:numFmt w:val="bullet"/>
      <w:suff w:val="tab"/>
      <w:lvlText w:val="o"/>
      <w:lvlJc w:val="left"/>
      <w:pPr>
        <w:ind w:hanging="360" w:left="5760"/>
        <w:tabs>
          <w:tab w:val="left" w:pos="5760" w:leader="none"/>
        </w:tabs>
      </w:pPr>
      <w:rPr>
        <w:rFonts w:ascii="Courier New" w:hAnsi="Courier New"/>
      </w:rPr>
    </w:lvl>
    <w:lvl w:ilvl="8" w:tplc="26501CD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48BDBC9">
      <w:start w:val="1"/>
      <w:numFmt w:val="bullet"/>
      <w:suff w:val="tab"/>
      <w:lvlText w:val=""/>
      <w:lvlJc w:val="left"/>
      <w:pPr>
        <w:ind w:hanging="360" w:left="720"/>
        <w:tabs>
          <w:tab w:val="left" w:pos="720" w:leader="none"/>
        </w:tabs>
      </w:pPr>
      <w:rPr>
        <w:rFonts w:ascii="Symbol" w:hAnsi="Symbol"/>
      </w:rPr>
    </w:lvl>
    <w:lvl w:ilvl="1" w:tplc="73FC53AB">
      <w:start w:val="1"/>
      <w:numFmt w:val="bullet"/>
      <w:suff w:val="tab"/>
      <w:lvlText w:val="o"/>
      <w:lvlJc w:val="left"/>
      <w:pPr>
        <w:ind w:hanging="360" w:left="1440"/>
        <w:tabs>
          <w:tab w:val="left" w:pos="1440" w:leader="none"/>
        </w:tabs>
      </w:pPr>
      <w:rPr>
        <w:rFonts w:ascii="Courier New" w:hAnsi="Courier New"/>
      </w:rPr>
    </w:lvl>
    <w:lvl w:ilvl="2" w:tplc="31F6A269">
      <w:start w:val="1"/>
      <w:numFmt w:val="bullet"/>
      <w:suff w:val="tab"/>
      <w:lvlText w:val=""/>
      <w:lvlJc w:val="left"/>
      <w:pPr>
        <w:ind w:hanging="360" w:left="2160"/>
        <w:tabs>
          <w:tab w:val="left" w:pos="2160" w:leader="none"/>
        </w:tabs>
      </w:pPr>
      <w:rPr>
        <w:rFonts w:ascii="Wingdings" w:hAnsi="Wingdings"/>
      </w:rPr>
    </w:lvl>
    <w:lvl w:ilvl="3" w:tplc="5C2A33DC">
      <w:start w:val="1"/>
      <w:numFmt w:val="bullet"/>
      <w:suff w:val="tab"/>
      <w:lvlText w:val=""/>
      <w:lvlJc w:val="left"/>
      <w:pPr>
        <w:ind w:hanging="360" w:left="2880"/>
        <w:tabs>
          <w:tab w:val="left" w:pos="2880" w:leader="none"/>
        </w:tabs>
      </w:pPr>
      <w:rPr>
        <w:rFonts w:ascii="Symbol" w:hAnsi="Symbol"/>
      </w:rPr>
    </w:lvl>
    <w:lvl w:ilvl="4" w:tplc="3D51E6DA">
      <w:start w:val="1"/>
      <w:numFmt w:val="bullet"/>
      <w:suff w:val="tab"/>
      <w:lvlText w:val="o"/>
      <w:lvlJc w:val="left"/>
      <w:pPr>
        <w:ind w:hanging="360" w:left="3600"/>
        <w:tabs>
          <w:tab w:val="left" w:pos="3600" w:leader="none"/>
        </w:tabs>
      </w:pPr>
      <w:rPr>
        <w:rFonts w:ascii="Courier New" w:hAnsi="Courier New"/>
      </w:rPr>
    </w:lvl>
    <w:lvl w:ilvl="5" w:tplc="2387A079">
      <w:start w:val="1"/>
      <w:numFmt w:val="bullet"/>
      <w:suff w:val="tab"/>
      <w:lvlText w:val=""/>
      <w:lvlJc w:val="left"/>
      <w:pPr>
        <w:ind w:hanging="360" w:left="4320"/>
        <w:tabs>
          <w:tab w:val="left" w:pos="4320" w:leader="none"/>
        </w:tabs>
      </w:pPr>
      <w:rPr>
        <w:rFonts w:ascii="Wingdings" w:hAnsi="Wingdings"/>
      </w:rPr>
    </w:lvl>
    <w:lvl w:ilvl="6" w:tplc="0616DA1E">
      <w:start w:val="1"/>
      <w:numFmt w:val="bullet"/>
      <w:suff w:val="tab"/>
      <w:lvlText w:val=""/>
      <w:lvlJc w:val="left"/>
      <w:pPr>
        <w:ind w:hanging="360" w:left="5040"/>
        <w:tabs>
          <w:tab w:val="left" w:pos="5040" w:leader="none"/>
        </w:tabs>
      </w:pPr>
      <w:rPr>
        <w:rFonts w:ascii="Symbol" w:hAnsi="Symbol"/>
      </w:rPr>
    </w:lvl>
    <w:lvl w:ilvl="7" w:tplc="19F83F10">
      <w:start w:val="1"/>
      <w:numFmt w:val="bullet"/>
      <w:suff w:val="tab"/>
      <w:lvlText w:val="o"/>
      <w:lvlJc w:val="left"/>
      <w:pPr>
        <w:ind w:hanging="360" w:left="5760"/>
        <w:tabs>
          <w:tab w:val="left" w:pos="5760" w:leader="none"/>
        </w:tabs>
      </w:pPr>
      <w:rPr>
        <w:rFonts w:ascii="Courier New" w:hAnsi="Courier New"/>
      </w:rPr>
    </w:lvl>
    <w:lvl w:ilvl="8" w:tplc="62BF095E">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57C3A8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2012-04-25T14:13:00Z</dcterms:created>
  <cp:lastModifiedBy>Ethan Puglia</cp:lastModifiedBy>
  <cp:lastPrinted>2012-04-25T16:54:00Z</cp:lastPrinted>
  <dcterms:modified xsi:type="dcterms:W3CDTF">2019-03-28T17:33:02Z</dcterms:modified>
  <cp:revision>7</cp:revision>
  <dc:title>PROYECTO DE ORDENANZA VIOLENCIA FAMILIAR</dc:title>
</cp:coreProperties>
</file>