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F8AB2C7" Type="http://schemas.openxmlformats.org/officeDocument/2006/relationships/officeDocument" Target="/word/document.xml" /><Relationship Id="coreR4F8AB2C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9290 </w:t>
      </w:r>
    </w:p>
    <w:p/>
    <w:p/>
    <w:p>
      <w:pPr>
        <w:spacing w:lineRule="auto" w:line="360" w:before="100" w:after="100" w:beforeAutospacing="1" w:afterAutospacing="1"/>
        <w:ind w:hanging="426" w:left="426"/>
        <w:jc w:val="both"/>
        <w:rPr>
          <w:rStyle w:val="C3"/>
          <w:rFonts w:ascii="Courier New" w:hAnsi="Courier New"/>
        </w:rPr>
      </w:pPr>
      <w:r>
        <w:rPr>
          <w:rStyle w:val="C3"/>
          <w:rFonts w:ascii="Courier New" w:hAnsi="Courier New"/>
        </w:rPr>
        <w:t>Visto: El Expediente Nº 1116/2008, iniciado por Faoro Paolo, solicitando Unificación y Subdivisión de lotes;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en el mismo se solicita: a) la autorización para la unificación y posterior subdivisión de los lotes cinco (5) y seis (6) de la manzana ciento ochenta y cuatro (184), ubicados sobre la calle Cjal. Rusconi de Barrio el Cañito de nuestra ciudad, cuyas designaciones catastrales son: 4-1-184-5 y 4-1-184-6, todo de acuerdo a plancheta catastral de fs.5; b) donar el pasaje interno al uso público;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la manzana en cuestión es atípica por sus dimensiones, por su topografía y por su geometría irregular lo que genera la necesidad de aplicar nuevas soluciones a la problemática de desarrollo urbanístico de la zona;</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la urbanización pretendida se ajusta en términos generales a la existente y circundante;</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fs.4 se adjuntan croquis de subdivisión propuesta;</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fs.7 vta. Sección Catastro Municipal informa sobre la titularidad de los lotes a unir y subdividir, no coincidiendo con los datos del solicitante, por lo que se requiere la presentación de la Escritura traslativa de dominio, la cual es presentada y consta a fs. 16 a 19;</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right"/>
        <w:rPr>
          <w:rStyle w:val="C3"/>
          <w:rFonts w:ascii="Courier New" w:hAnsi="Courier New"/>
        </w:rPr>
      </w:pPr>
      <w:r>
        <w:rPr>
          <w:rStyle w:val="C3"/>
          <w:rFonts w:ascii="Courier New" w:hAnsi="Courier New"/>
        </w:rPr>
        <w:t>...///</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a fs.8 la Secretaria de Obras y Servicios Públicos informa sobre el croquis de subdivisión propuesto a fs.4, en el cual se observan dos situaciónes  que no cumplimentan con la normativa en vigencia (Medida de frente de los lotes que dan a la calle Cjal. Rusconi y longitud  del Pasaje interior);</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fs.8 vta. el Área de Planeamiento solicita se adjunte un Esquema de Circulación Vehicular;</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fs.9 el Sr. Paolo Faoro presenta un nuevo croquis de subdivisión, con un Esquema de Circulación Vehicular; la cual a fs.11 es considerada “factible en función de lo presentado” por el Área de Planeamiento;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fs.15 el Sr. Paolo Faoro solicita al Honorable Concejo Deliberante la “aprobación definitiva del expediente 1116/08 con las modificaciones sugeridas, las cuales constan a fs.9 del mismo”;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fs.21 y 22 se incorpora al Expediente la Ordenanza Nº 8540 sancionada por el Honorable Concejo Deliberante de la Ciudad de Alta Gracia con fecha 09 de Diciembre del año 2009, donde se aprueba la subdivisión conforme a croquis adjunto en fs.9;</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fs.24 se anexa el Expediente Nº 686/2010 iniciado por Faoro Lucas Dante solicitando visar las dos (2) previas que se adjuntan;</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fs.27 se incorpora un Plano de Mensura, Unión y Subdivisión donde se observa que no coincide con el croquis de fs.9 (superficie de lotes, ancho del pasaje, etc.);</w:t>
      </w:r>
    </w:p>
    <w:p>
      <w:pPr>
        <w:spacing w:lineRule="auto" w:line="276" w:beforeAutospacing="1" w:afterAutospacing="1"/>
        <w:ind w:left="426"/>
        <w:jc w:val="right"/>
        <w:rPr>
          <w:rStyle w:val="C3"/>
          <w:rFonts w:ascii="Courier New" w:hAnsi="Courier New"/>
        </w:rPr>
      </w:pPr>
      <w:r>
        <w:rPr>
          <w:rStyle w:val="C3"/>
          <w:rFonts w:ascii="Courier New" w:hAnsi="Courier New"/>
        </w:rPr>
        <w:t>...///</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...///3.-</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fs.30 vta. y 32 con fecha 11/04/2012 la Secretaria de Obras y Servicios Públicos emite dictamen con una serie de consideraciones a tener en cuenta;</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analizado el Expediente de referencia, por la   Comisión de Obras y Servicios Públicos, la misma emite despacho favorable, aprobado por unanimidad en Sesión Ordinaria del día 23 de Mayo de 2012.</w:t>
      </w:r>
    </w:p>
    <w:p>
      <w:pPr>
        <w:spacing w:lineRule="auto" w:line="276" w:beforeAutospacing="1" w:afterAutospacing="1"/>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lineRule="auto" w:line="360" w:beforeAutospacing="1" w:afterAutospacing="1"/>
        <w:jc w:val="both"/>
        <w:rPr>
          <w:rStyle w:val="C3"/>
          <w:rFonts w:ascii="Courier New" w:hAnsi="Courier New"/>
          <w:b w:val="1"/>
          <w:u w:val="single"/>
        </w:rPr>
      </w:pPr>
    </w:p>
    <w:p>
      <w:pPr>
        <w:spacing w:lineRule="auto" w:line="360" w:beforeAutospacing="1" w:afterAutospacing="1"/>
        <w:jc w:val="both"/>
        <w:rPr>
          <w:rStyle w:val="C3"/>
          <w:rFonts w:ascii="Courier New" w:hAnsi="Courier New"/>
          <w:b w:val="1"/>
          <w:u w:val="single"/>
        </w:rPr>
      </w:pPr>
    </w:p>
    <w:p>
      <w:pPr>
        <w:spacing w:lineRule="auto" w:line="360"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DERÓ</w:t>
      </w:r>
      <w:r>
        <w:rPr>
          <w:rStyle w:val="C3"/>
          <w:rFonts w:ascii="Courier New" w:hAnsi="Courier New"/>
          <w:b w:val="1"/>
        </w:rPr>
        <w:t>GA</w:t>
      </w:r>
      <w:r>
        <w:rPr>
          <w:rStyle w:val="C3"/>
          <w:rFonts w:ascii="Courier New" w:hAnsi="Courier New"/>
          <w:b w:val="1"/>
        </w:rPr>
        <w:t>SE</w:t>
      </w:r>
      <w:r>
        <w:rPr>
          <w:rStyle w:val="C3"/>
          <w:rFonts w:ascii="Courier New" w:hAnsi="Courier New"/>
          <w:b w:val="1"/>
        </w:rPr>
        <w:t xml:space="preserve"> </w:t>
      </w:r>
      <w:r>
        <w:rPr>
          <w:rStyle w:val="C3"/>
          <w:rFonts w:ascii="Courier New" w:hAnsi="Courier New"/>
        </w:rPr>
        <w:t>la Ordenanza Nº 8540.</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AUTOR</w:t>
      </w:r>
      <w:r>
        <w:rPr>
          <w:rStyle w:val="C3"/>
          <w:rFonts w:ascii="Courier New" w:hAnsi="Courier New"/>
          <w:b w:val="1"/>
        </w:rPr>
        <w:t>Í</w:t>
      </w:r>
      <w:r>
        <w:rPr>
          <w:rStyle w:val="C3"/>
          <w:rFonts w:ascii="Courier New" w:hAnsi="Courier New"/>
          <w:b w:val="1"/>
        </w:rPr>
        <w:t>ZA</w:t>
      </w:r>
      <w:r>
        <w:rPr>
          <w:rStyle w:val="C3"/>
          <w:rFonts w:ascii="Courier New" w:hAnsi="Courier New"/>
          <w:b w:val="1"/>
        </w:rPr>
        <w:t>SE</w:t>
      </w:r>
      <w:r>
        <w:rPr>
          <w:rStyle w:val="C3"/>
          <w:rFonts w:ascii="Courier New" w:hAnsi="Courier New"/>
          <w:b w:val="1"/>
        </w:rPr>
        <w:t xml:space="preserve"> </w:t>
      </w:r>
      <w:r>
        <w:rPr>
          <w:rStyle w:val="C3"/>
          <w:rFonts w:ascii="Courier New" w:hAnsi="Courier New"/>
        </w:rPr>
        <w:t>al Sr. Paolo Faoro a realizar la mensura, unión y subdivisión de los lotes 5 y 6 de la manzana 184, ubicados sobre la calle Cjal. Rusconi de Barrio El Cañito de nuestra ciudad, cuyas Designaciones Catastrales son; 4-1-184-5 y 4-1-184-6 en un todo de acuerdo al Plano de Mensura, Unión y Subdivisión que obra a fs.27;</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CONSIDÉRASE</w:t>
      </w:r>
      <w:r>
        <w:rPr>
          <w:rStyle w:val="C3"/>
          <w:rFonts w:ascii="Courier New" w:hAnsi="Courier New"/>
          <w:b w:val="1"/>
        </w:rPr>
        <w:t xml:space="preserve"> </w:t>
      </w:r>
      <w:r>
        <w:rPr>
          <w:rStyle w:val="C3"/>
          <w:rFonts w:ascii="Courier New" w:hAnsi="Courier New"/>
        </w:rPr>
        <w:t xml:space="preserve">al Pasaje interno, como Pasaje Privado, ya que no reúne las medidas mínimas para ser incorporado como calle. </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DEBERÁ</w:t>
      </w:r>
      <w:r>
        <w:rPr>
          <w:rStyle w:val="C3"/>
          <w:rFonts w:ascii="Courier New" w:hAnsi="Courier New"/>
          <w:b w:val="1"/>
        </w:rPr>
        <w:t xml:space="preserve"> </w:t>
      </w:r>
      <w:r>
        <w:rPr>
          <w:rStyle w:val="C3"/>
          <w:rFonts w:ascii="Courier New" w:hAnsi="Courier New"/>
        </w:rPr>
        <w:t>el solicitante proveer a dicho proyecto de los servicios de infraestructura mínima, como son: Agua potable, energía eléctrica, alumbrado público y colectora de efluentes cloacales.</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b w:val="1"/>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...///4.-</w:t>
      </w:r>
    </w:p>
    <w:p>
      <w:pPr>
        <w:ind w:hanging="426" w:left="426"/>
        <w:jc w:val="both"/>
        <w:rPr>
          <w:rStyle w:val="C3"/>
          <w:rFonts w:ascii="Courier New" w:hAnsi="Courier New"/>
          <w:b w:val="1"/>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Art.5</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VEINTITRES DÍAS DEL MES MAYO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63096801">
      <w:start w:val="0"/>
      <w:numFmt w:val="bullet"/>
      <w:suff w:val="tab"/>
      <w:lvlText w:val=""/>
      <w:lvlJc w:val="left"/>
      <w:pPr>
        <w:ind w:hanging="360" w:left="927"/>
      </w:pPr>
      <w:rPr>
        <w:rFonts w:ascii="Symbol" w:hAnsi="Symbol"/>
      </w:rPr>
    </w:lvl>
    <w:lvl w:ilvl="1" w:tplc="37684324">
      <w:start w:val="1"/>
      <w:numFmt w:val="bullet"/>
      <w:suff w:val="tab"/>
      <w:lvlText w:val="o"/>
      <w:lvlJc w:val="left"/>
      <w:pPr>
        <w:ind w:hanging="360" w:left="1647"/>
      </w:pPr>
      <w:rPr>
        <w:rFonts w:ascii="Courier New" w:hAnsi="Courier New"/>
      </w:rPr>
    </w:lvl>
    <w:lvl w:ilvl="2" w:tplc="4920BDE0">
      <w:start w:val="1"/>
      <w:numFmt w:val="bullet"/>
      <w:suff w:val="tab"/>
      <w:lvlText w:val=""/>
      <w:lvlJc w:val="left"/>
      <w:pPr>
        <w:ind w:hanging="360" w:left="2367"/>
      </w:pPr>
      <w:rPr>
        <w:rFonts w:ascii="Wingdings" w:hAnsi="Wingdings"/>
      </w:rPr>
    </w:lvl>
    <w:lvl w:ilvl="3" w:tplc="61CE087A">
      <w:start w:val="1"/>
      <w:numFmt w:val="bullet"/>
      <w:suff w:val="tab"/>
      <w:lvlText w:val=""/>
      <w:lvlJc w:val="left"/>
      <w:pPr>
        <w:ind w:hanging="360" w:left="3087"/>
      </w:pPr>
      <w:rPr>
        <w:rFonts w:ascii="Symbol" w:hAnsi="Symbol"/>
      </w:rPr>
    </w:lvl>
    <w:lvl w:ilvl="4" w:tplc="5BCE4D2C">
      <w:start w:val="1"/>
      <w:numFmt w:val="bullet"/>
      <w:suff w:val="tab"/>
      <w:lvlText w:val="o"/>
      <w:lvlJc w:val="left"/>
      <w:pPr>
        <w:ind w:hanging="360" w:left="3807"/>
      </w:pPr>
      <w:rPr>
        <w:rFonts w:ascii="Courier New" w:hAnsi="Courier New"/>
      </w:rPr>
    </w:lvl>
    <w:lvl w:ilvl="5" w:tplc="59E27A62">
      <w:start w:val="1"/>
      <w:numFmt w:val="bullet"/>
      <w:suff w:val="tab"/>
      <w:lvlText w:val=""/>
      <w:lvlJc w:val="left"/>
      <w:pPr>
        <w:ind w:hanging="360" w:left="4527"/>
      </w:pPr>
      <w:rPr>
        <w:rFonts w:ascii="Wingdings" w:hAnsi="Wingdings"/>
      </w:rPr>
    </w:lvl>
    <w:lvl w:ilvl="6" w:tplc="585FC607">
      <w:start w:val="1"/>
      <w:numFmt w:val="bullet"/>
      <w:suff w:val="tab"/>
      <w:lvlText w:val=""/>
      <w:lvlJc w:val="left"/>
      <w:pPr>
        <w:ind w:hanging="360" w:left="5247"/>
      </w:pPr>
      <w:rPr>
        <w:rFonts w:ascii="Symbol" w:hAnsi="Symbol"/>
      </w:rPr>
    </w:lvl>
    <w:lvl w:ilvl="7" w:tplc="43B80ED3">
      <w:start w:val="1"/>
      <w:numFmt w:val="bullet"/>
      <w:suff w:val="tab"/>
      <w:lvlText w:val="o"/>
      <w:lvlJc w:val="left"/>
      <w:pPr>
        <w:ind w:hanging="360" w:left="5967"/>
      </w:pPr>
      <w:rPr>
        <w:rFonts w:ascii="Courier New" w:hAnsi="Courier New"/>
      </w:rPr>
    </w:lvl>
    <w:lvl w:ilvl="8" w:tplc="380ED88B">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587DEB4A">
      <w:start w:val="0"/>
      <w:numFmt w:val="bullet"/>
      <w:suff w:val="tab"/>
      <w:lvlText w:val="-"/>
      <w:lvlJc w:val="left"/>
      <w:pPr>
        <w:ind w:hanging="360" w:left="720"/>
        <w:tabs>
          <w:tab w:val="left" w:pos="720" w:leader="none"/>
        </w:tabs>
      </w:pPr>
      <w:rPr>
        <w:rFonts w:ascii="Times New Roman" w:hAnsi="Times New Roman"/>
      </w:rPr>
    </w:lvl>
    <w:lvl w:ilvl="1" w:tplc="6F9A3B6E">
      <w:start w:val="1"/>
      <w:numFmt w:val="bullet"/>
      <w:suff w:val="tab"/>
      <w:lvlText w:val="o"/>
      <w:lvlJc w:val="left"/>
      <w:pPr>
        <w:ind w:hanging="360" w:left="1440"/>
        <w:tabs>
          <w:tab w:val="left" w:pos="1440" w:leader="none"/>
        </w:tabs>
      </w:pPr>
      <w:rPr>
        <w:rFonts w:ascii="Courier New" w:hAnsi="Courier New"/>
      </w:rPr>
    </w:lvl>
    <w:lvl w:ilvl="2" w:tplc="203C497E">
      <w:start w:val="1"/>
      <w:numFmt w:val="bullet"/>
      <w:suff w:val="tab"/>
      <w:lvlText w:val=""/>
      <w:lvlJc w:val="left"/>
      <w:pPr>
        <w:ind w:hanging="360" w:left="2160"/>
        <w:tabs>
          <w:tab w:val="left" w:pos="2160" w:leader="none"/>
        </w:tabs>
      </w:pPr>
      <w:rPr>
        <w:rFonts w:ascii="Wingdings" w:hAnsi="Wingdings"/>
      </w:rPr>
    </w:lvl>
    <w:lvl w:ilvl="3" w:tplc="49874819">
      <w:start w:val="1"/>
      <w:numFmt w:val="bullet"/>
      <w:suff w:val="tab"/>
      <w:lvlText w:val=""/>
      <w:lvlJc w:val="left"/>
      <w:pPr>
        <w:ind w:hanging="360" w:left="2880"/>
        <w:tabs>
          <w:tab w:val="left" w:pos="2880" w:leader="none"/>
        </w:tabs>
      </w:pPr>
      <w:rPr>
        <w:rFonts w:ascii="Symbol" w:hAnsi="Symbol"/>
      </w:rPr>
    </w:lvl>
    <w:lvl w:ilvl="4" w:tplc="76705C36">
      <w:start w:val="1"/>
      <w:numFmt w:val="bullet"/>
      <w:suff w:val="tab"/>
      <w:lvlText w:val="o"/>
      <w:lvlJc w:val="left"/>
      <w:pPr>
        <w:ind w:hanging="360" w:left="3600"/>
        <w:tabs>
          <w:tab w:val="left" w:pos="3600" w:leader="none"/>
        </w:tabs>
      </w:pPr>
      <w:rPr>
        <w:rFonts w:ascii="Courier New" w:hAnsi="Courier New"/>
      </w:rPr>
    </w:lvl>
    <w:lvl w:ilvl="5" w:tplc="0237DC39">
      <w:start w:val="1"/>
      <w:numFmt w:val="bullet"/>
      <w:suff w:val="tab"/>
      <w:lvlText w:val=""/>
      <w:lvlJc w:val="left"/>
      <w:pPr>
        <w:ind w:hanging="360" w:left="4320"/>
        <w:tabs>
          <w:tab w:val="left" w:pos="4320" w:leader="none"/>
        </w:tabs>
      </w:pPr>
      <w:rPr>
        <w:rFonts w:ascii="Wingdings" w:hAnsi="Wingdings"/>
      </w:rPr>
    </w:lvl>
    <w:lvl w:ilvl="6" w:tplc="181FE0E7">
      <w:start w:val="1"/>
      <w:numFmt w:val="bullet"/>
      <w:suff w:val="tab"/>
      <w:lvlText w:val=""/>
      <w:lvlJc w:val="left"/>
      <w:pPr>
        <w:ind w:hanging="360" w:left="5040"/>
        <w:tabs>
          <w:tab w:val="left" w:pos="5040" w:leader="none"/>
        </w:tabs>
      </w:pPr>
      <w:rPr>
        <w:rFonts w:ascii="Symbol" w:hAnsi="Symbol"/>
      </w:rPr>
    </w:lvl>
    <w:lvl w:ilvl="7" w:tplc="5CBE3399">
      <w:start w:val="1"/>
      <w:numFmt w:val="bullet"/>
      <w:suff w:val="tab"/>
      <w:lvlText w:val="o"/>
      <w:lvlJc w:val="left"/>
      <w:pPr>
        <w:ind w:hanging="360" w:left="5760"/>
        <w:tabs>
          <w:tab w:val="left" w:pos="5760" w:leader="none"/>
        </w:tabs>
      </w:pPr>
      <w:rPr>
        <w:rFonts w:ascii="Courier New" w:hAnsi="Courier New"/>
      </w:rPr>
    </w:lvl>
    <w:lvl w:ilvl="8" w:tplc="23DE644A">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7924E86A">
      <w:start w:val="1"/>
      <w:numFmt w:val="bullet"/>
      <w:suff w:val="tab"/>
      <w:lvlText w:val=""/>
      <w:lvlJc w:val="left"/>
      <w:pPr>
        <w:ind w:hanging="360" w:left="720"/>
        <w:tabs>
          <w:tab w:val="left" w:pos="720" w:leader="none"/>
        </w:tabs>
      </w:pPr>
      <w:rPr>
        <w:rFonts w:ascii="Symbol" w:hAnsi="Symbol"/>
      </w:rPr>
    </w:lvl>
    <w:lvl w:ilvl="1" w:tplc="55E78175">
      <w:start w:val="1"/>
      <w:numFmt w:val="bullet"/>
      <w:suff w:val="tab"/>
      <w:lvlText w:val="o"/>
      <w:lvlJc w:val="left"/>
      <w:pPr>
        <w:ind w:hanging="360" w:left="1440"/>
        <w:tabs>
          <w:tab w:val="left" w:pos="1440" w:leader="none"/>
        </w:tabs>
      </w:pPr>
      <w:rPr>
        <w:rFonts w:ascii="Courier New" w:hAnsi="Courier New"/>
      </w:rPr>
    </w:lvl>
    <w:lvl w:ilvl="2" w:tplc="115F3D12">
      <w:start w:val="1"/>
      <w:numFmt w:val="bullet"/>
      <w:suff w:val="tab"/>
      <w:lvlText w:val=""/>
      <w:lvlJc w:val="left"/>
      <w:pPr>
        <w:ind w:hanging="360" w:left="2160"/>
        <w:tabs>
          <w:tab w:val="left" w:pos="2160" w:leader="none"/>
        </w:tabs>
      </w:pPr>
      <w:rPr>
        <w:rFonts w:ascii="Wingdings" w:hAnsi="Wingdings"/>
      </w:rPr>
    </w:lvl>
    <w:lvl w:ilvl="3" w:tplc="0A5E00C8">
      <w:start w:val="1"/>
      <w:numFmt w:val="bullet"/>
      <w:suff w:val="tab"/>
      <w:lvlText w:val=""/>
      <w:lvlJc w:val="left"/>
      <w:pPr>
        <w:ind w:hanging="360" w:left="2880"/>
        <w:tabs>
          <w:tab w:val="left" w:pos="2880" w:leader="none"/>
        </w:tabs>
      </w:pPr>
      <w:rPr>
        <w:rFonts w:ascii="Symbol" w:hAnsi="Symbol"/>
      </w:rPr>
    </w:lvl>
    <w:lvl w:ilvl="4" w:tplc="4382D8F3">
      <w:start w:val="1"/>
      <w:numFmt w:val="bullet"/>
      <w:suff w:val="tab"/>
      <w:lvlText w:val="o"/>
      <w:lvlJc w:val="left"/>
      <w:pPr>
        <w:ind w:hanging="360" w:left="3600"/>
        <w:tabs>
          <w:tab w:val="left" w:pos="3600" w:leader="none"/>
        </w:tabs>
      </w:pPr>
      <w:rPr>
        <w:rFonts w:ascii="Courier New" w:hAnsi="Courier New"/>
      </w:rPr>
    </w:lvl>
    <w:lvl w:ilvl="5" w:tplc="023EF247">
      <w:start w:val="1"/>
      <w:numFmt w:val="bullet"/>
      <w:suff w:val="tab"/>
      <w:lvlText w:val=""/>
      <w:lvlJc w:val="left"/>
      <w:pPr>
        <w:ind w:hanging="360" w:left="4320"/>
        <w:tabs>
          <w:tab w:val="left" w:pos="4320" w:leader="none"/>
        </w:tabs>
      </w:pPr>
      <w:rPr>
        <w:rFonts w:ascii="Wingdings" w:hAnsi="Wingdings"/>
      </w:rPr>
    </w:lvl>
    <w:lvl w:ilvl="6" w:tplc="4211DD2F">
      <w:start w:val="1"/>
      <w:numFmt w:val="bullet"/>
      <w:suff w:val="tab"/>
      <w:lvlText w:val=""/>
      <w:lvlJc w:val="left"/>
      <w:pPr>
        <w:ind w:hanging="360" w:left="5040"/>
        <w:tabs>
          <w:tab w:val="left" w:pos="5040" w:leader="none"/>
        </w:tabs>
      </w:pPr>
      <w:rPr>
        <w:rFonts w:ascii="Symbol" w:hAnsi="Symbol"/>
      </w:rPr>
    </w:lvl>
    <w:lvl w:ilvl="7" w:tplc="52407768">
      <w:start w:val="1"/>
      <w:numFmt w:val="bullet"/>
      <w:suff w:val="tab"/>
      <w:lvlText w:val="o"/>
      <w:lvlJc w:val="left"/>
      <w:pPr>
        <w:ind w:hanging="360" w:left="5760"/>
        <w:tabs>
          <w:tab w:val="left" w:pos="5760" w:leader="none"/>
        </w:tabs>
      </w:pPr>
      <w:rPr>
        <w:rFonts w:ascii="Courier New" w:hAnsi="Courier New"/>
      </w:rPr>
    </w:lvl>
    <w:lvl w:ilvl="8" w:tplc="110D6B6E">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07BA9AA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2012-05-23T15:56:00Z</dcterms:created>
  <cp:lastModifiedBy>Ethan Puglia</cp:lastModifiedBy>
  <cp:lastPrinted>2012-05-09T16:49:00Z</cp:lastPrinted>
  <dcterms:modified xsi:type="dcterms:W3CDTF">2019-03-28T17:33:02Z</dcterms:modified>
  <cp:revision>6</cp:revision>
  <dc:title>PROYECTO DE ORDENANZA VIOLENCIA FAMILIAR</dc:title>
</cp:coreProperties>
</file>