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6D5D7" Type="http://schemas.openxmlformats.org/officeDocument/2006/relationships/officeDocument" Target="/word/document.xml" /><Relationship Id="coreR6096D5D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9291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698/12 iniciado por COSAG Ltda.;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actualización de tarifa del servicios de agua y desagües cloacales de la ciudad de Alta Gracia;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actualización de la tarifa basándose la misma en un análisis estrictamente económico de la variación de los costos de los elementos necesarios para prestar el servicio;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presentación por Dirección de Servicios Públicos y en uso de sus atribuciones conferidas por Ordenanza Nº 9222 y Ordenanza Nº 9229, sugiere un incrementos del VEINTICINCO POR CINETO 825%);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Dirección aclara que la metodología utilizada para sugerir el porcentaje de aumento, sirve para lograr un equilibrio económico – financiero del servicio sólo en un corto plazo;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análisis a mediano y largo plazo se deberá realizar en forma posterior con un estudio más profundo del servicio;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para determinar esta actualización se utiliza una estructura de costos elaborada a partir de la información brindada por los prestadores y a cada rubro se lo relaciona con algún índice de precios que sirva como referencia del impacto de precios durante el período analizado;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Concejo reunido en Comisión mantuvo reunión con los representantes del COSAG Ltda. y con el Director de Servicios Públicos a los fines de realizar distintas consultas;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el Concejo en Comisión, el misma emite despacho favorable, aprobado por unanimidad en Sesión Ordinaria del día 23 de Mayo de 2012.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OTORGAR</w:t>
      </w:r>
      <w:r>
        <w:rPr>
          <w:rStyle w:val="C3"/>
          <w:rFonts w:ascii="Courier New" w:hAnsi="Courier New"/>
        </w:rPr>
        <w:t xml:space="preserve"> un aumento del veinticinco por ciento (25%) a partir de la promulgación de la presente, a la tarifa correspondiente al servicio de conducción, tratamiento y distribución de agua potable y recolección y tratamiento de los efluentes cloacales de la ciudad.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VEINTITRES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8FF232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026497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E81D0C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C197CB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EA3398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341E3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2869C0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80AC92B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5F3BDC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27C7C8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6E0056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78CF5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C7EB89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4CD3C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09ACBA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3500EB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557F00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9C7D5E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2CAAC8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31F62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5AED84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BBB46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333E89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C05B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196921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68E091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126A72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8AB683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2012-05-23T15:47:00Z</dcterms:created>
  <cp:lastModifiedBy>Ethan Puglia</cp:lastModifiedBy>
  <cp:lastPrinted>2012-05-24T12:06:00Z</cp:lastPrinted>
  <dcterms:modified xsi:type="dcterms:W3CDTF">2019-03-28T17:33:02Z</dcterms:modified>
  <cp:revision>7</cp:revision>
  <dc:title>PROYECTO DE ORDENANZA VIOLENCIA FAMILIAR</dc:title>
</cp:coreProperties>
</file>