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BCF825" Type="http://schemas.openxmlformats.org/officeDocument/2006/relationships/officeDocument" Target="/word/document.xml" /><Relationship Id="coreR56BCF8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9297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872/I/11 iniciado por el Sr. Héctor Rodríguez;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– Cuenta Nº 9594;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ocupa un inmueble de su padre, ya fallecido, en estado regular de conservación y realiza trabajos por temporada en forma irregular;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 inserto en el sistema productivo a través del trabajo informal, no llegando a cubrir sus necesidades básicas.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6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el solicitante en concepto de Tasa por Servicios a la Propiedad Cuenta Nº 9594.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pago de las cuotas correspondientes al año 2012 de Tasas por Servicios a la Propiedad al inmueble cta. Nº 9594.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 Sr. Intendente interceda ante el o los procuradores actuantes para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D65BA6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59EFA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637F7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D1BC7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39EF7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62C2D7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3F74AA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E20621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F57F16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530B52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D5CCAA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C60E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DE1FD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5FD0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016F9F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E557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41E1A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E51E2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F72534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53D8DF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A3C4A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FCD02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F46E8F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35A2B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A824D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A0E3F3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B4839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5E6879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2012-06-06T16:06:00Z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