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4AF2E6C" Type="http://schemas.openxmlformats.org/officeDocument/2006/relationships/officeDocument" Target="/word/document.xml" /><Relationship Id="coreR54AF2E6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9316 </w:t>
      </w:r>
    </w:p>
    <w:p/>
    <w:p/>
    <w:p>
      <w:pPr>
        <w:spacing w:lineRule="auto" w:line="360" w:before="100" w:after="100" w:beforeAutospacing="1" w:afterAutospacing="1"/>
        <w:ind w:hanging="426" w:left="426"/>
        <w:jc w:val="both"/>
        <w:rPr>
          <w:rStyle w:val="C3"/>
          <w:rFonts w:ascii="Courier New" w:hAnsi="Courier New"/>
        </w:rPr>
      </w:pPr>
      <w:r>
        <w:rPr>
          <w:rStyle w:val="C3"/>
          <w:rFonts w:ascii="Courier New" w:hAnsi="Courier New"/>
        </w:rPr>
        <w:t>Visto: La Ordenanza Nº 1833;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 xml:space="preserve">                   </w:t>
      </w:r>
    </w:p>
    <w:p>
      <w:pPr>
        <w:spacing w:lineRule="auto" w:line="276" w:beforeAutospacing="1" w:afterAutospacing="1"/>
        <w:ind w:left="426"/>
        <w:jc w:val="both"/>
        <w:rPr>
          <w:rStyle w:val="C3"/>
          <w:rFonts w:ascii="Courier New" w:hAnsi="Courier New"/>
        </w:rPr>
      </w:pPr>
      <w:r>
        <w:rPr>
          <w:rStyle w:val="C3"/>
          <w:rFonts w:ascii="Courier New" w:hAnsi="Courier New"/>
        </w:rPr>
        <w:t>Que se hace necesario normalizar la situación de las Comisiones Directivas de los Centros Vecinales;</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también es importante que todos los centros vecinales cuenten con su correspondiente Personería Jurídica conforme a la Ley Provincial Nº 9420;</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tales fines y teniendo en cuenta que muchos de los mandatos de las comisiones directivas se encuentran vencidos, se cree conveniente otorgar un plazo prudencial a fin de poder regularizar esta situación;</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analizado el Proyecto de Ordenanza elevado por el Departamento Ejecutivo, por la Comisión de Legislación General, la misma emite dos despachos, aprobándose por mayoría en Sesión Ordinaria del día 27 de Junio de 2012, el despacho favorable.</w:t>
      </w: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ESTABLÉZCASE </w:t>
      </w:r>
      <w:r>
        <w:rPr>
          <w:rStyle w:val="C3"/>
          <w:rFonts w:ascii="Courier New" w:hAnsi="Courier New"/>
        </w:rPr>
        <w:t>una prórroga en el mandato de las Comisiones de los Centro Vecinales que se encuentren vencidas, hasta tanto se cumplimenten los pasos establecidos en los arts. 3 y 4 de la presente Ordenanza.</w:t>
      </w:r>
    </w:p>
    <w:p>
      <w:pPr>
        <w:jc w:val="right"/>
        <w:rPr>
          <w:rStyle w:val="C3"/>
          <w:rFonts w:ascii="Courier New" w:hAnsi="Courier New"/>
        </w:rPr>
      </w:pPr>
      <w:r>
        <w:rPr>
          <w:rStyle w:val="C3"/>
          <w:rFonts w:ascii="Courier New" w:hAnsi="Courier New"/>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...///2.-</w:t>
      </w:r>
    </w:p>
    <w:p>
      <w:pPr>
        <w:ind w:hanging="426" w:left="426"/>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ESTABLÉZCASE</w:t>
      </w:r>
      <w:r>
        <w:rPr>
          <w:rStyle w:val="C3"/>
          <w:rFonts w:ascii="Courier New" w:hAnsi="Courier New"/>
          <w:b w:val="1"/>
        </w:rPr>
        <w:t xml:space="preserve"> </w:t>
      </w:r>
      <w:r>
        <w:rPr>
          <w:rStyle w:val="C3"/>
          <w:rFonts w:ascii="Courier New" w:hAnsi="Courier New"/>
        </w:rPr>
        <w:t>un plazo de ciento ochenta (180) días a contar de la publicación de la presente Ordenanza, para que los Centros Vecinales que aún no cuenten con personería jurídica conforme a la ley Provincial Nº 9420, puedan obtenerla, debiendo la Secretaria de Coordinación y Relaciones Institucionales prestar toda la colaboración necesaria a tal fin.</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w:t>
      </w:r>
      <w:r>
        <w:rPr>
          <w:rStyle w:val="C3"/>
          <w:rFonts w:ascii="Courier New" w:hAnsi="Courier New"/>
          <w:b w:val="1"/>
        </w:rPr>
        <w:t>ESTABLÉZCASE</w:t>
      </w:r>
      <w:r>
        <w:rPr>
          <w:rStyle w:val="C3"/>
          <w:rFonts w:ascii="Courier New" w:hAnsi="Courier New"/>
          <w:b w:val="1"/>
        </w:rPr>
        <w:t xml:space="preserve"> </w:t>
      </w:r>
      <w:r>
        <w:rPr>
          <w:rStyle w:val="C3"/>
          <w:rFonts w:ascii="Courier New" w:hAnsi="Courier New"/>
        </w:rPr>
        <w:t>a todos los Centros Vecinales un plazo de ciento ochenta (180) días, a contar de la publicación de la presente Ordenanza para que confeccionen los padrones provisionales y lo presenten ante la autoridad Municipal, como lo establece el Art. 20 inc. 1 de la Ordenanza Nº 1833.</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 CONCLU</w:t>
      </w:r>
      <w:r>
        <w:rPr>
          <w:rStyle w:val="C3"/>
          <w:rFonts w:ascii="Courier New" w:hAnsi="Courier New"/>
          <w:b w:val="1"/>
        </w:rPr>
        <w:t>Í</w:t>
      </w:r>
      <w:r>
        <w:rPr>
          <w:rStyle w:val="C3"/>
          <w:rFonts w:ascii="Courier New" w:hAnsi="Courier New"/>
          <w:b w:val="1"/>
        </w:rPr>
        <w:t>DO</w:t>
      </w:r>
      <w:r>
        <w:rPr>
          <w:rStyle w:val="C3"/>
          <w:rFonts w:ascii="Courier New" w:hAnsi="Courier New"/>
          <w:b w:val="1"/>
        </w:rPr>
        <w:t>S</w:t>
      </w:r>
      <w:r>
        <w:rPr>
          <w:rStyle w:val="C3"/>
          <w:rFonts w:ascii="Courier New" w:hAnsi="Courier New"/>
          <w:b w:val="1"/>
        </w:rPr>
        <w:t xml:space="preserve"> </w:t>
      </w:r>
      <w:r>
        <w:rPr>
          <w:rStyle w:val="C3"/>
          <w:rFonts w:ascii="Courier New" w:hAnsi="Courier New"/>
        </w:rPr>
        <w:t>los términos establecidos en los Arts. 2 y 3 de la presente Ordenanza deberá continuarse con el trámite fijado en la Ordenanza Nº 1833 a los fines de convocar a elecciones.</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LOS VEINTISIETE DÍAS DEL MES JUNIO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396CA6D4">
      <w:start w:val="0"/>
      <w:numFmt w:val="bullet"/>
      <w:suff w:val="tab"/>
      <w:lvlText w:val=""/>
      <w:lvlJc w:val="left"/>
      <w:pPr>
        <w:ind w:hanging="360" w:left="927"/>
      </w:pPr>
      <w:rPr>
        <w:rFonts w:ascii="Symbol" w:hAnsi="Symbol"/>
      </w:rPr>
    </w:lvl>
    <w:lvl w:ilvl="1" w:tplc="679F8FA3">
      <w:start w:val="1"/>
      <w:numFmt w:val="bullet"/>
      <w:suff w:val="tab"/>
      <w:lvlText w:val="o"/>
      <w:lvlJc w:val="left"/>
      <w:pPr>
        <w:ind w:hanging="360" w:left="1647"/>
      </w:pPr>
      <w:rPr>
        <w:rFonts w:ascii="Courier New" w:hAnsi="Courier New"/>
      </w:rPr>
    </w:lvl>
    <w:lvl w:ilvl="2" w:tplc="519CE06F">
      <w:start w:val="1"/>
      <w:numFmt w:val="bullet"/>
      <w:suff w:val="tab"/>
      <w:lvlText w:val=""/>
      <w:lvlJc w:val="left"/>
      <w:pPr>
        <w:ind w:hanging="360" w:left="2367"/>
      </w:pPr>
      <w:rPr>
        <w:rFonts w:ascii="Wingdings" w:hAnsi="Wingdings"/>
      </w:rPr>
    </w:lvl>
    <w:lvl w:ilvl="3" w:tplc="125BF135">
      <w:start w:val="1"/>
      <w:numFmt w:val="bullet"/>
      <w:suff w:val="tab"/>
      <w:lvlText w:val=""/>
      <w:lvlJc w:val="left"/>
      <w:pPr>
        <w:ind w:hanging="360" w:left="3087"/>
      </w:pPr>
      <w:rPr>
        <w:rFonts w:ascii="Symbol" w:hAnsi="Symbol"/>
      </w:rPr>
    </w:lvl>
    <w:lvl w:ilvl="4" w:tplc="4731411C">
      <w:start w:val="1"/>
      <w:numFmt w:val="bullet"/>
      <w:suff w:val="tab"/>
      <w:lvlText w:val="o"/>
      <w:lvlJc w:val="left"/>
      <w:pPr>
        <w:ind w:hanging="360" w:left="3807"/>
      </w:pPr>
      <w:rPr>
        <w:rFonts w:ascii="Courier New" w:hAnsi="Courier New"/>
      </w:rPr>
    </w:lvl>
    <w:lvl w:ilvl="5" w:tplc="77CBA637">
      <w:start w:val="1"/>
      <w:numFmt w:val="bullet"/>
      <w:suff w:val="tab"/>
      <w:lvlText w:val=""/>
      <w:lvlJc w:val="left"/>
      <w:pPr>
        <w:ind w:hanging="360" w:left="4527"/>
      </w:pPr>
      <w:rPr>
        <w:rFonts w:ascii="Wingdings" w:hAnsi="Wingdings"/>
      </w:rPr>
    </w:lvl>
    <w:lvl w:ilvl="6" w:tplc="071C29D5">
      <w:start w:val="1"/>
      <w:numFmt w:val="bullet"/>
      <w:suff w:val="tab"/>
      <w:lvlText w:val=""/>
      <w:lvlJc w:val="left"/>
      <w:pPr>
        <w:ind w:hanging="360" w:left="5247"/>
      </w:pPr>
      <w:rPr>
        <w:rFonts w:ascii="Symbol" w:hAnsi="Symbol"/>
      </w:rPr>
    </w:lvl>
    <w:lvl w:ilvl="7" w:tplc="7750B62C">
      <w:start w:val="1"/>
      <w:numFmt w:val="bullet"/>
      <w:suff w:val="tab"/>
      <w:lvlText w:val="o"/>
      <w:lvlJc w:val="left"/>
      <w:pPr>
        <w:ind w:hanging="360" w:left="5967"/>
      </w:pPr>
      <w:rPr>
        <w:rFonts w:ascii="Courier New" w:hAnsi="Courier New"/>
      </w:rPr>
    </w:lvl>
    <w:lvl w:ilvl="8" w:tplc="7CDE4C76">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6674C20E">
      <w:start w:val="0"/>
      <w:numFmt w:val="bullet"/>
      <w:suff w:val="tab"/>
      <w:lvlText w:val="-"/>
      <w:lvlJc w:val="left"/>
      <w:pPr>
        <w:ind w:hanging="360" w:left="720"/>
        <w:tabs>
          <w:tab w:val="left" w:pos="720" w:leader="none"/>
        </w:tabs>
      </w:pPr>
      <w:rPr>
        <w:rFonts w:ascii="Times New Roman" w:hAnsi="Times New Roman"/>
      </w:rPr>
    </w:lvl>
    <w:lvl w:ilvl="1" w:tplc="1882D1F1">
      <w:start w:val="1"/>
      <w:numFmt w:val="bullet"/>
      <w:suff w:val="tab"/>
      <w:lvlText w:val="o"/>
      <w:lvlJc w:val="left"/>
      <w:pPr>
        <w:ind w:hanging="360" w:left="1440"/>
        <w:tabs>
          <w:tab w:val="left" w:pos="1440" w:leader="none"/>
        </w:tabs>
      </w:pPr>
      <w:rPr>
        <w:rFonts w:ascii="Courier New" w:hAnsi="Courier New"/>
      </w:rPr>
    </w:lvl>
    <w:lvl w:ilvl="2" w:tplc="17BF9713">
      <w:start w:val="1"/>
      <w:numFmt w:val="bullet"/>
      <w:suff w:val="tab"/>
      <w:lvlText w:val=""/>
      <w:lvlJc w:val="left"/>
      <w:pPr>
        <w:ind w:hanging="360" w:left="2160"/>
        <w:tabs>
          <w:tab w:val="left" w:pos="2160" w:leader="none"/>
        </w:tabs>
      </w:pPr>
      <w:rPr>
        <w:rFonts w:ascii="Wingdings" w:hAnsi="Wingdings"/>
      </w:rPr>
    </w:lvl>
    <w:lvl w:ilvl="3" w:tplc="2AFE01A5">
      <w:start w:val="1"/>
      <w:numFmt w:val="bullet"/>
      <w:suff w:val="tab"/>
      <w:lvlText w:val=""/>
      <w:lvlJc w:val="left"/>
      <w:pPr>
        <w:ind w:hanging="360" w:left="2880"/>
        <w:tabs>
          <w:tab w:val="left" w:pos="2880" w:leader="none"/>
        </w:tabs>
      </w:pPr>
      <w:rPr>
        <w:rFonts w:ascii="Symbol" w:hAnsi="Symbol"/>
      </w:rPr>
    </w:lvl>
    <w:lvl w:ilvl="4" w:tplc="5A33B8AB">
      <w:start w:val="1"/>
      <w:numFmt w:val="bullet"/>
      <w:suff w:val="tab"/>
      <w:lvlText w:val="o"/>
      <w:lvlJc w:val="left"/>
      <w:pPr>
        <w:ind w:hanging="360" w:left="3600"/>
        <w:tabs>
          <w:tab w:val="left" w:pos="3600" w:leader="none"/>
        </w:tabs>
      </w:pPr>
      <w:rPr>
        <w:rFonts w:ascii="Courier New" w:hAnsi="Courier New"/>
      </w:rPr>
    </w:lvl>
    <w:lvl w:ilvl="5" w:tplc="02D6892C">
      <w:start w:val="1"/>
      <w:numFmt w:val="bullet"/>
      <w:suff w:val="tab"/>
      <w:lvlText w:val=""/>
      <w:lvlJc w:val="left"/>
      <w:pPr>
        <w:ind w:hanging="360" w:left="4320"/>
        <w:tabs>
          <w:tab w:val="left" w:pos="4320" w:leader="none"/>
        </w:tabs>
      </w:pPr>
      <w:rPr>
        <w:rFonts w:ascii="Wingdings" w:hAnsi="Wingdings"/>
      </w:rPr>
    </w:lvl>
    <w:lvl w:ilvl="6" w:tplc="0A74A36B">
      <w:start w:val="1"/>
      <w:numFmt w:val="bullet"/>
      <w:suff w:val="tab"/>
      <w:lvlText w:val=""/>
      <w:lvlJc w:val="left"/>
      <w:pPr>
        <w:ind w:hanging="360" w:left="5040"/>
        <w:tabs>
          <w:tab w:val="left" w:pos="5040" w:leader="none"/>
        </w:tabs>
      </w:pPr>
      <w:rPr>
        <w:rFonts w:ascii="Symbol" w:hAnsi="Symbol"/>
      </w:rPr>
    </w:lvl>
    <w:lvl w:ilvl="7" w:tplc="4811D0CA">
      <w:start w:val="1"/>
      <w:numFmt w:val="bullet"/>
      <w:suff w:val="tab"/>
      <w:lvlText w:val="o"/>
      <w:lvlJc w:val="left"/>
      <w:pPr>
        <w:ind w:hanging="360" w:left="5760"/>
        <w:tabs>
          <w:tab w:val="left" w:pos="5760" w:leader="none"/>
        </w:tabs>
      </w:pPr>
      <w:rPr>
        <w:rFonts w:ascii="Courier New" w:hAnsi="Courier New"/>
      </w:rPr>
    </w:lvl>
    <w:lvl w:ilvl="8" w:tplc="5D650B84">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31EC974C">
      <w:start w:val="1"/>
      <w:numFmt w:val="bullet"/>
      <w:suff w:val="tab"/>
      <w:lvlText w:val=""/>
      <w:lvlJc w:val="left"/>
      <w:pPr>
        <w:ind w:hanging="360" w:left="720"/>
        <w:tabs>
          <w:tab w:val="left" w:pos="720" w:leader="none"/>
        </w:tabs>
      </w:pPr>
      <w:rPr>
        <w:rFonts w:ascii="Symbol" w:hAnsi="Symbol"/>
      </w:rPr>
    </w:lvl>
    <w:lvl w:ilvl="1" w:tplc="0597829B">
      <w:start w:val="1"/>
      <w:numFmt w:val="bullet"/>
      <w:suff w:val="tab"/>
      <w:lvlText w:val="o"/>
      <w:lvlJc w:val="left"/>
      <w:pPr>
        <w:ind w:hanging="360" w:left="1440"/>
        <w:tabs>
          <w:tab w:val="left" w:pos="1440" w:leader="none"/>
        </w:tabs>
      </w:pPr>
      <w:rPr>
        <w:rFonts w:ascii="Courier New" w:hAnsi="Courier New"/>
      </w:rPr>
    </w:lvl>
    <w:lvl w:ilvl="2" w:tplc="16D7B5A3">
      <w:start w:val="1"/>
      <w:numFmt w:val="bullet"/>
      <w:suff w:val="tab"/>
      <w:lvlText w:val=""/>
      <w:lvlJc w:val="left"/>
      <w:pPr>
        <w:ind w:hanging="360" w:left="2160"/>
        <w:tabs>
          <w:tab w:val="left" w:pos="2160" w:leader="none"/>
        </w:tabs>
      </w:pPr>
      <w:rPr>
        <w:rFonts w:ascii="Wingdings" w:hAnsi="Wingdings"/>
      </w:rPr>
    </w:lvl>
    <w:lvl w:ilvl="3" w:tplc="06589E6E">
      <w:start w:val="1"/>
      <w:numFmt w:val="bullet"/>
      <w:suff w:val="tab"/>
      <w:lvlText w:val=""/>
      <w:lvlJc w:val="left"/>
      <w:pPr>
        <w:ind w:hanging="360" w:left="2880"/>
        <w:tabs>
          <w:tab w:val="left" w:pos="2880" w:leader="none"/>
        </w:tabs>
      </w:pPr>
      <w:rPr>
        <w:rFonts w:ascii="Symbol" w:hAnsi="Symbol"/>
      </w:rPr>
    </w:lvl>
    <w:lvl w:ilvl="4" w:tplc="090AB04C">
      <w:start w:val="1"/>
      <w:numFmt w:val="bullet"/>
      <w:suff w:val="tab"/>
      <w:lvlText w:val="o"/>
      <w:lvlJc w:val="left"/>
      <w:pPr>
        <w:ind w:hanging="360" w:left="3600"/>
        <w:tabs>
          <w:tab w:val="left" w:pos="3600" w:leader="none"/>
        </w:tabs>
      </w:pPr>
      <w:rPr>
        <w:rFonts w:ascii="Courier New" w:hAnsi="Courier New"/>
      </w:rPr>
    </w:lvl>
    <w:lvl w:ilvl="5" w:tplc="0233663A">
      <w:start w:val="1"/>
      <w:numFmt w:val="bullet"/>
      <w:suff w:val="tab"/>
      <w:lvlText w:val=""/>
      <w:lvlJc w:val="left"/>
      <w:pPr>
        <w:ind w:hanging="360" w:left="4320"/>
        <w:tabs>
          <w:tab w:val="left" w:pos="4320" w:leader="none"/>
        </w:tabs>
      </w:pPr>
      <w:rPr>
        <w:rFonts w:ascii="Wingdings" w:hAnsi="Wingdings"/>
      </w:rPr>
    </w:lvl>
    <w:lvl w:ilvl="6" w:tplc="237CCE40">
      <w:start w:val="1"/>
      <w:numFmt w:val="bullet"/>
      <w:suff w:val="tab"/>
      <w:lvlText w:val=""/>
      <w:lvlJc w:val="left"/>
      <w:pPr>
        <w:ind w:hanging="360" w:left="5040"/>
        <w:tabs>
          <w:tab w:val="left" w:pos="5040" w:leader="none"/>
        </w:tabs>
      </w:pPr>
      <w:rPr>
        <w:rFonts w:ascii="Symbol" w:hAnsi="Symbol"/>
      </w:rPr>
    </w:lvl>
    <w:lvl w:ilvl="7" w:tplc="06852DAD">
      <w:start w:val="1"/>
      <w:numFmt w:val="bullet"/>
      <w:suff w:val="tab"/>
      <w:lvlText w:val="o"/>
      <w:lvlJc w:val="left"/>
      <w:pPr>
        <w:ind w:hanging="360" w:left="5760"/>
        <w:tabs>
          <w:tab w:val="left" w:pos="5760" w:leader="none"/>
        </w:tabs>
      </w:pPr>
      <w:rPr>
        <w:rFonts w:ascii="Courier New" w:hAnsi="Courier New"/>
      </w:rPr>
    </w:lvl>
    <w:lvl w:ilvl="8" w:tplc="782343D6">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4BE9491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2012-06-28T16:04:00Z</dcterms:created>
  <cp:lastModifiedBy>Ethan Puglia</cp:lastModifiedBy>
  <cp:lastPrinted>2012-05-24T12:06:00Z</cp:lastPrinted>
  <dcterms:modified xsi:type="dcterms:W3CDTF">2019-03-28T17:33:03Z</dcterms:modified>
  <cp:revision>7</cp:revision>
  <dc:title>PROYECTO DE ORDENANZA VIOLENCIA FAMILIAR</dc:title>
</cp:coreProperties>
</file>