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F1B1147" Type="http://schemas.openxmlformats.org/officeDocument/2006/relationships/officeDocument" Target="/word/document.xml" /><Relationship Id="coreR2F1B114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9317 </w:t>
      </w:r>
    </w:p>
    <w:p/>
    <w:p/>
    <w:p>
      <w:pPr>
        <w:spacing w:lineRule="auto" w:line="276" w:before="100" w:after="100" w:beforeAutospacing="1" w:afterAutospacing="1"/>
        <w:ind w:hanging="426" w:left="426"/>
        <w:jc w:val="both"/>
        <w:rPr>
          <w:rStyle w:val="C3"/>
          <w:rFonts w:ascii="Courier New" w:hAnsi="Courier New"/>
        </w:rPr>
      </w:pPr>
      <w:r>
        <w:rPr>
          <w:rStyle w:val="C3"/>
          <w:rFonts w:ascii="Courier New" w:hAnsi="Courier New"/>
        </w:rPr>
        <w:t xml:space="preserve">Visto: la Ley Nº 26.364 de  Prevención y Sanción de la Trata de Personas y Asistencia a sus Víctimas, la Ley Nº  26.485 de Protección Integral a las Mujeres y la Ordenanza Nº 7164   Código de Espectáculos Públicos;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
      <w:pPr>
        <w:tabs>
          <w:tab w:val="left" w:pos="2824" w:leader="none"/>
        </w:tabs>
        <w:ind w:left="426"/>
        <w:jc w:val="both"/>
        <w:rPr>
          <w:rStyle w:val="C3"/>
          <w:rFonts w:ascii="Courier New" w:hAnsi="Courier New"/>
        </w:rPr>
      </w:pPr>
      <w:r>
        <w:rPr>
          <w:rStyle w:val="C3"/>
          <w:rFonts w:ascii="Courier New" w:hAnsi="Courier New"/>
        </w:rPr>
        <w:t>Que la Ley Nº 26.364 tiene por objeto implementar medidas destinadas a prevenir y sancionar la trata de personas, asistir y proteger a sus víctimas;</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en la misma ley  entiende por trata de personas  mayores de dieciocho (18) años, la captación, el transporte y/o traslado — ya sea dentro del país, desde o hacia el exterior — la acogida o la recepción, con fines de explotación, cuando mediare engaño, fraude, violencia, amenaza o cualquier medio de intimidación o coerción, abuso de autoridad o de una situación de vulnerabilidad, concesión o recepción de pagos o beneficios para obtener el consentimiento de una persona que tenga autoridad sobre la víctima, aun cuando existiere asentimiento de ésta;</w:t>
      </w:r>
    </w:p>
    <w:p>
      <w:pPr>
        <w:tabs>
          <w:tab w:val="left" w:pos="2824" w:leader="none"/>
        </w:tabs>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también se entiende por trata de personas menores de  dieciocho (18) años de edad, el ofrecimiento, la captación, el transporte y/o traslado — ya sea dentro del país, desde o hacia el exterior — la acogida o la recepción con fines de explotación; aún cuando no mediare engaño, fraude, violencia, amenaza o cualquier medio de intimidación o coerción, abuso de autoridad o de una situación de vulnerabilidad, concesión o recepción de pagos o beneficios para obtener el consentimiento de una persona que tenga autoridad sobre la víctima.   El asentimiento de la víctima de trata de personas menores de dieciocho (18) años no tendrá efecto alguno;</w:t>
      </w:r>
    </w:p>
    <w:p>
      <w:pPr>
        <w:tabs>
          <w:tab w:val="left" w:pos="2824" w:leader="none"/>
        </w:tabs>
        <w:jc w:val="right"/>
        <w:rPr>
          <w:rStyle w:val="C3"/>
          <w:rFonts w:ascii="Courier New" w:hAnsi="Courier New"/>
        </w:rPr>
      </w:pPr>
      <w:r>
        <w:rPr>
          <w:rStyle w:val="C3"/>
          <w:rFonts w:ascii="Courier New" w:hAnsi="Courier New"/>
        </w:rPr>
        <w:t>...///</w:t>
      </w: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...///2.-</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en el art.4º inc. c de la antes mencionada ley, existe explotación en el supuesto que  se promoviere, facilitare, desarrollare o se obtuviere provecho de cualquier forma de comercio sexual;</w:t>
      </w:r>
    </w:p>
    <w:p>
      <w:pPr>
        <w:tabs>
          <w:tab w:val="left" w:pos="2824" w:leader="none"/>
        </w:tabs>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la Ley Nº 26.485 de PROTECCION INTEGRAL A LAS MUJERES en su art. 2, tiene por objeto promover y garantizar: inc. a) la eliminación de la discriminación entre mujeres y varones en todos los órdenes de la vida, en su inc. e) la remoción de patrones socioculturales que promueven y sostienen la desigualdad de género y las relaciones de poder sobre las mujeres;</w:t>
      </w:r>
    </w:p>
    <w:p>
      <w:pPr>
        <w:tabs>
          <w:tab w:val="left" w:pos="2824" w:leader="none"/>
        </w:tabs>
        <w:ind w:hanging="426" w:left="426"/>
        <w:jc w:val="both"/>
        <w:rPr>
          <w:rStyle w:val="C3"/>
          <w:rFonts w:ascii="Courier New" w:hAnsi="Courier New"/>
        </w:rPr>
      </w:pPr>
      <w:r>
        <w:rPr>
          <w:rStyle w:val="C3"/>
          <w:rFonts w:ascii="Courier New" w:hAnsi="Courier New"/>
        </w:rPr>
        <w:t xml:space="preserve"> </w:t>
      </w:r>
    </w:p>
    <w:p>
      <w:pPr>
        <w:tabs>
          <w:tab w:val="left" w:pos="2824" w:leader="none"/>
        </w:tabs>
        <w:ind w:hanging="426" w:left="426"/>
        <w:jc w:val="both"/>
        <w:rPr>
          <w:rStyle w:val="C3"/>
          <w:rFonts w:ascii="Courier New" w:hAnsi="Courier New"/>
        </w:rPr>
      </w:pPr>
      <w:r>
        <w:rPr>
          <w:rStyle w:val="C3"/>
          <w:rFonts w:ascii="Courier New" w:hAnsi="Courier New"/>
        </w:rPr>
        <w:t xml:space="preserve">   Que la Provincia de Córdoba acaba de sancionar la Ley Nº 10.060 prohibiendo en todo el territorio de la Provincia la instalación, funcionamiento, regenteo, sostenimiento, promoción, publicidad, administración y/o explotación bajo cualquier  forma, modalidad o denominación, de manera ostensible o encubierta – de whisquerías, cabarets, clubes nocturnos, boites o establecimientos y/o locales de alterne, disponiendo la clausura inmediata de esos establecimientos;</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esa Ley crea además una Comisión de Lucha Contra la Trata de Personas y de Contención y Recuperación de Víctimas de la Explotación Sexual; </w:t>
      </w:r>
    </w:p>
    <w:p>
      <w:pPr>
        <w:tabs>
          <w:tab w:val="left" w:pos="2824" w:leader="none"/>
        </w:tabs>
        <w:ind w:hanging="426" w:left="426"/>
        <w:jc w:val="both"/>
        <w:rPr>
          <w:rStyle w:val="C3"/>
          <w:rFonts w:ascii="Courier New" w:hAnsi="Courier New"/>
        </w:rPr>
      </w:pPr>
      <w:r>
        <w:rPr>
          <w:rStyle w:val="C3"/>
          <w:rFonts w:ascii="Courier New" w:hAnsi="Courier New"/>
        </w:rPr>
        <w:t xml:space="preserve">  </w:t>
      </w:r>
    </w:p>
    <w:p>
      <w:pPr>
        <w:tabs>
          <w:tab w:val="left" w:pos="2824" w:leader="none"/>
        </w:tabs>
        <w:ind w:hanging="426" w:left="426"/>
        <w:jc w:val="both"/>
        <w:rPr>
          <w:rStyle w:val="C3"/>
          <w:rFonts w:ascii="Courier New" w:hAnsi="Courier New"/>
        </w:rPr>
      </w:pPr>
      <w:r>
        <w:rPr>
          <w:rStyle w:val="C3"/>
          <w:rFonts w:ascii="Courier New" w:hAnsi="Courier New"/>
        </w:rPr>
        <w:t xml:space="preserve">   Que además la mencionada Ley es de orden público;</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la Ordenanza Nº 7164 regula la habilitación de establecimientos destinados a espectáculos públicos entre los que se encuentra los denominados Cabarets o Wisquerías;</w:t>
      </w:r>
    </w:p>
    <w:p>
      <w:pPr>
        <w:tabs>
          <w:tab w:val="left" w:pos="2824" w:leader="none"/>
        </w:tabs>
        <w:ind w:hanging="426"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en su art.29 la mencionada ordenanza, dice “denomínase así  a todo local con servicio de bar o restaurante, donde se realicen espectáculos musicales, etc.… …y cuente con personal especialmente contratado pare alternar y bailar con el público asistente, el que deberá ser mayor de dieciocho años de edad”;</w:t>
      </w:r>
    </w:p>
    <w:p>
      <w:pPr>
        <w:tabs>
          <w:tab w:val="left" w:pos="2824" w:leader="none"/>
        </w:tabs>
        <w:ind w:left="426"/>
        <w:jc w:val="right"/>
        <w:rPr>
          <w:rStyle w:val="C3"/>
          <w:rFonts w:ascii="Courier New" w:hAnsi="Courier New"/>
        </w:rPr>
      </w:pPr>
      <w:r>
        <w:rPr>
          <w:rStyle w:val="C3"/>
          <w:rFonts w:ascii="Courier New" w:hAnsi="Courier New"/>
        </w:rPr>
        <w:t>...///</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...///3.-</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en el mismo articulo dice: “El personal femenino como masculino de estos establecimientos deberá ser mayor de dieciocho años de edad, presentar certificado de antecedentes y la lista del mismo  con sus datos personales deberá entregarse y actualizarse por ante la Autoridad de Aplicación cada treinta días” cabe aclarar que es en la única categoría que regula  los locales de espectáculos públicos, en donde al personal del establecimientos   se   le  solicitan estos  requisitos;</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en el siguiente párrafo se expresa “Las bailarinas de pista, comúnmente denominadas coperas o alternadoras deberán ser mayores de dieciochos años y munirse de un carnet habilitante  que otorgará la Dirección de Salud Pública y Medio Ambiente Municipal, previa revisación médica y aptitud de salud que se verificará por el personal médico respectivo. El examen médico será obligatorio cada treinta días, sin perjuicio de someterse a él cada vez que la Autoridad de Aplicación o la Dirección de Salud y Medio Ambiente se lo requiera, el cual será condición del mantenimiento de la habilitación del local”;</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entre los requisitos deberá acreditar haberse sometido al análisis de detección del síndrome de Inmuno Deficiencia Adquirida y toda enfermedad de Transmisión Sexual y esta documentación deberá permanecer en el negocio durante las horas de trabajo, debiendo ser exhibida cada vez que sea requerida por la Autoridad de Aplicación;</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dentro del marco precedentemente mencionado, resulta imperioso adoptar medidas tendientes a eliminar todas las formas que posibiliten la trata de personas o la discriminación, en particular con fines de proxenetismo, que violan los derechos humanos de las mujeres y las niñas y son incompatibles con la dignidad y el valor del ser humano, determinando la adopción de medidas eficaces en el plano  municipal;</w:t>
      </w:r>
    </w:p>
    <w:p>
      <w:pPr>
        <w:tabs>
          <w:tab w:val="left" w:pos="2824" w:leader="none"/>
        </w:tabs>
        <w:jc w:val="right"/>
        <w:rPr>
          <w:rStyle w:val="C3"/>
          <w:rFonts w:ascii="Courier New" w:hAnsi="Courier New"/>
        </w:rPr>
      </w:pPr>
      <w:r>
        <w:rPr>
          <w:rStyle w:val="C3"/>
          <w:rFonts w:ascii="Courier New" w:hAnsi="Courier New"/>
        </w:rPr>
        <w:t>...///</w:t>
      </w: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...///4.-</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es necesario reducir todas aquellas prácticas o usos sociales que faciliten o dejen expedita la consecución de las acciones que puedan ser tipificadas como trata de personas;</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en tal sentido, se considera que los comercios con estas características que promueven la oferta sexual, son un vehículo efectivo para el delito de trata y/o la explotación de personas;</w:t>
      </w:r>
    </w:p>
    <w:p>
      <w:pPr>
        <w:tabs>
          <w:tab w:val="left" w:pos="2824" w:leader="none"/>
        </w:tabs>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el artículo Nº 29 de  la mencionada ordenanza  promueve la explotación de mujeres de manera indirecta construyendo patrones socioculturales reproductores de la desigualdad o generadores de violencia contra las mujeres;</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el art. 29 de la Ordenanza Nº 7164 está en flagrante contradicción con la Ley Nacional Nº 26364 y con la Ley Provincial Nº 10060 por lo que se debe ajustar la Ordenanza;</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asimismo el Estado Municipal debe adoptar las medidas necesarias y ratificar en cada una de sus actuaciones, el respeto irrestricto  al derecho constitucional de la igualdad entre mujeres y varones;</w:t>
      </w:r>
    </w:p>
    <w:p>
      <w:pPr>
        <w:tabs>
          <w:tab w:val="left" w:pos="2824" w:leader="none"/>
        </w:tabs>
        <w:ind w:left="426"/>
        <w:jc w:val="both"/>
        <w:rPr>
          <w:rStyle w:val="C3"/>
          <w:rFonts w:ascii="Courier New" w:hAnsi="Courier New"/>
        </w:rPr>
      </w:pPr>
      <w:r>
        <w:rPr>
          <w:rStyle w:val="C3"/>
          <w:rFonts w:ascii="Courier New" w:hAnsi="Courier New"/>
        </w:rPr>
        <w:t xml:space="preserve"> </w:t>
      </w:r>
    </w:p>
    <w:p>
      <w:pPr>
        <w:tabs>
          <w:tab w:val="left" w:pos="2824" w:leader="none"/>
        </w:tabs>
        <w:ind w:left="426"/>
        <w:jc w:val="both"/>
        <w:rPr>
          <w:rStyle w:val="C3"/>
          <w:rFonts w:ascii="Courier New" w:hAnsi="Courier New"/>
        </w:rPr>
      </w:pPr>
      <w:r>
        <w:rPr>
          <w:rStyle w:val="C3"/>
          <w:rFonts w:ascii="Courier New" w:hAnsi="Courier New"/>
        </w:rPr>
        <w:t>Que corresponde adecuar el Código de Espectáculos Público a esta nueva realidad legal;</w:t>
      </w:r>
    </w:p>
    <w:p>
      <w:pPr>
        <w:spacing w:lineRule="auto" w:line="276" w:beforeAutospacing="1" w:afterAutospacing="1"/>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evaluado el Proyecto de Ordenanza por el Concejo reunido en Comisión se emite despacho por unanimidad aprobando en general el proyecto de Ordenanza y en particular con modificaciones, despacho aprobado por unanimidad en sesión de fecha 27 de junio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...///5.-</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PROH</w:t>
      </w:r>
      <w:r>
        <w:rPr>
          <w:rStyle w:val="C3"/>
          <w:rFonts w:ascii="Courier New" w:hAnsi="Courier New"/>
          <w:b w:val="1"/>
        </w:rPr>
        <w:t>Í</w:t>
      </w:r>
      <w:r>
        <w:rPr>
          <w:rStyle w:val="C3"/>
          <w:rFonts w:ascii="Courier New" w:hAnsi="Courier New"/>
          <w:b w:val="1"/>
        </w:rPr>
        <w:t xml:space="preserve">BASE </w:t>
      </w:r>
      <w:r>
        <w:rPr>
          <w:rStyle w:val="C3"/>
          <w:rFonts w:ascii="Courier New" w:hAnsi="Courier New"/>
        </w:rPr>
        <w:t>a partir de la promulgación de la presente en todo el ejido municipal de la Ciudad de Alta Gracia la habilitación de locales tipificados en la Ordenanza Nº 7164 en el art. 29 como CABARTES o WHISKERIAS.-</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DEBERÁ</w:t>
      </w:r>
      <w:r>
        <w:rPr>
          <w:rStyle w:val="C3"/>
          <w:rFonts w:ascii="Courier New" w:hAnsi="Courier New"/>
          <w:b w:val="1"/>
        </w:rPr>
        <w:t xml:space="preserve"> </w:t>
      </w:r>
      <w:r>
        <w:rPr>
          <w:rStyle w:val="C3"/>
          <w:rFonts w:ascii="Courier New" w:hAnsi="Courier New"/>
        </w:rPr>
        <w:t>la Secretaria General proceder a realizar un relevamiento de la cantidad de las personas que ejerzan trabajo sexual en la ciudad.-</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 xml:space="preserve">A </w:t>
      </w:r>
      <w:r>
        <w:rPr>
          <w:rStyle w:val="C3"/>
          <w:rFonts w:ascii="Courier New" w:hAnsi="Courier New"/>
        </w:rPr>
        <w:t>las personas que posean domicilio en Alta Gracia con antigüedad mínima de un año, desde la Secretaría de Desarrollo Social, se dispondrán los profesionales pertinentes para la contención social y capacitación laboral de las mismas, a quienes la requieran.-</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DEBERÁ </w:t>
      </w:r>
      <w:r>
        <w:rPr>
          <w:rStyle w:val="C3"/>
          <w:rFonts w:ascii="Courier New" w:hAnsi="Courier New"/>
        </w:rPr>
        <w:t>la Secretaria de Desarrollo Social garantizar el acompañamiento pertinente para la realización de los trámites necesarios para la conformación de cooperativas de trabajo que contribuyan a generar las alternativas necesarias para aquellas trabajadoras sexuales que deseen dejar de ejercer su actividad.-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ARBITRAR </w:t>
      </w:r>
      <w:r>
        <w:rPr>
          <w:rStyle w:val="C3"/>
          <w:rFonts w:ascii="Courier New" w:hAnsi="Courier New"/>
        </w:rPr>
        <w:t>loa medios necesarios para que la ciudad de Alta Gracia este representada en la “Comisión Provincial de Lucha contra la Trata de Personas y de Contención y Recuperación de Víctimas de la Explotación Sexual” según Ley Nº 10060.</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DEROGÁSE </w:t>
      </w:r>
      <w:r>
        <w:rPr>
          <w:rStyle w:val="C3"/>
          <w:rFonts w:ascii="Courier New" w:hAnsi="Courier New"/>
        </w:rPr>
        <w:t>el art. 29 de la Ordenanza Nº 7164- Código de Espectáculos Públicos y las normas tributarias que pudieren gravar las actividades prohibidas.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VEINTISIETE DÍAS DEL MES JUNIO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4D5F322">
      <w:start w:val="0"/>
      <w:numFmt w:val="bullet"/>
      <w:suff w:val="tab"/>
      <w:lvlText w:val=""/>
      <w:lvlJc w:val="left"/>
      <w:pPr>
        <w:ind w:hanging="360" w:left="927"/>
      </w:pPr>
      <w:rPr>
        <w:rFonts w:ascii="Symbol" w:hAnsi="Symbol"/>
      </w:rPr>
    </w:lvl>
    <w:lvl w:ilvl="1" w:tplc="73DF9B88">
      <w:start w:val="1"/>
      <w:numFmt w:val="bullet"/>
      <w:suff w:val="tab"/>
      <w:lvlText w:val="o"/>
      <w:lvlJc w:val="left"/>
      <w:pPr>
        <w:ind w:hanging="360" w:left="1647"/>
      </w:pPr>
      <w:rPr>
        <w:rFonts w:ascii="Courier New" w:hAnsi="Courier New"/>
      </w:rPr>
    </w:lvl>
    <w:lvl w:ilvl="2" w:tplc="2D98B83E">
      <w:start w:val="1"/>
      <w:numFmt w:val="bullet"/>
      <w:suff w:val="tab"/>
      <w:lvlText w:val=""/>
      <w:lvlJc w:val="left"/>
      <w:pPr>
        <w:ind w:hanging="360" w:left="2367"/>
      </w:pPr>
      <w:rPr>
        <w:rFonts w:ascii="Wingdings" w:hAnsi="Wingdings"/>
      </w:rPr>
    </w:lvl>
    <w:lvl w:ilvl="3" w:tplc="6536FB3B">
      <w:start w:val="1"/>
      <w:numFmt w:val="bullet"/>
      <w:suff w:val="tab"/>
      <w:lvlText w:val=""/>
      <w:lvlJc w:val="left"/>
      <w:pPr>
        <w:ind w:hanging="360" w:left="3087"/>
      </w:pPr>
      <w:rPr>
        <w:rFonts w:ascii="Symbol" w:hAnsi="Symbol"/>
      </w:rPr>
    </w:lvl>
    <w:lvl w:ilvl="4" w:tplc="47F57576">
      <w:start w:val="1"/>
      <w:numFmt w:val="bullet"/>
      <w:suff w:val="tab"/>
      <w:lvlText w:val="o"/>
      <w:lvlJc w:val="left"/>
      <w:pPr>
        <w:ind w:hanging="360" w:left="3807"/>
      </w:pPr>
      <w:rPr>
        <w:rFonts w:ascii="Courier New" w:hAnsi="Courier New"/>
      </w:rPr>
    </w:lvl>
    <w:lvl w:ilvl="5" w:tplc="6E885AAE">
      <w:start w:val="1"/>
      <w:numFmt w:val="bullet"/>
      <w:suff w:val="tab"/>
      <w:lvlText w:val=""/>
      <w:lvlJc w:val="left"/>
      <w:pPr>
        <w:ind w:hanging="360" w:left="4527"/>
      </w:pPr>
      <w:rPr>
        <w:rFonts w:ascii="Wingdings" w:hAnsi="Wingdings"/>
      </w:rPr>
    </w:lvl>
    <w:lvl w:ilvl="6" w:tplc="46BEA149">
      <w:start w:val="1"/>
      <w:numFmt w:val="bullet"/>
      <w:suff w:val="tab"/>
      <w:lvlText w:val=""/>
      <w:lvlJc w:val="left"/>
      <w:pPr>
        <w:ind w:hanging="360" w:left="5247"/>
      </w:pPr>
      <w:rPr>
        <w:rFonts w:ascii="Symbol" w:hAnsi="Symbol"/>
      </w:rPr>
    </w:lvl>
    <w:lvl w:ilvl="7" w:tplc="686A87C2">
      <w:start w:val="1"/>
      <w:numFmt w:val="bullet"/>
      <w:suff w:val="tab"/>
      <w:lvlText w:val="o"/>
      <w:lvlJc w:val="left"/>
      <w:pPr>
        <w:ind w:hanging="360" w:left="5967"/>
      </w:pPr>
      <w:rPr>
        <w:rFonts w:ascii="Courier New" w:hAnsi="Courier New"/>
      </w:rPr>
    </w:lvl>
    <w:lvl w:ilvl="8" w:tplc="645961D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ADAC0EF">
      <w:start w:val="0"/>
      <w:numFmt w:val="bullet"/>
      <w:suff w:val="tab"/>
      <w:lvlText w:val="-"/>
      <w:lvlJc w:val="left"/>
      <w:pPr>
        <w:ind w:hanging="360" w:left="720"/>
        <w:tabs>
          <w:tab w:val="left" w:pos="720" w:leader="none"/>
        </w:tabs>
      </w:pPr>
      <w:rPr>
        <w:rFonts w:ascii="Times New Roman" w:hAnsi="Times New Roman"/>
      </w:rPr>
    </w:lvl>
    <w:lvl w:ilvl="1" w:tplc="0C869BC8">
      <w:start w:val="1"/>
      <w:numFmt w:val="bullet"/>
      <w:suff w:val="tab"/>
      <w:lvlText w:val="o"/>
      <w:lvlJc w:val="left"/>
      <w:pPr>
        <w:ind w:hanging="360" w:left="1440"/>
        <w:tabs>
          <w:tab w:val="left" w:pos="1440" w:leader="none"/>
        </w:tabs>
      </w:pPr>
      <w:rPr>
        <w:rFonts w:ascii="Courier New" w:hAnsi="Courier New"/>
      </w:rPr>
    </w:lvl>
    <w:lvl w:ilvl="2" w:tplc="6490BF77">
      <w:start w:val="1"/>
      <w:numFmt w:val="bullet"/>
      <w:suff w:val="tab"/>
      <w:lvlText w:val=""/>
      <w:lvlJc w:val="left"/>
      <w:pPr>
        <w:ind w:hanging="360" w:left="2160"/>
        <w:tabs>
          <w:tab w:val="left" w:pos="2160" w:leader="none"/>
        </w:tabs>
      </w:pPr>
      <w:rPr>
        <w:rFonts w:ascii="Wingdings" w:hAnsi="Wingdings"/>
      </w:rPr>
    </w:lvl>
    <w:lvl w:ilvl="3" w:tplc="50190CB6">
      <w:start w:val="1"/>
      <w:numFmt w:val="bullet"/>
      <w:suff w:val="tab"/>
      <w:lvlText w:val=""/>
      <w:lvlJc w:val="left"/>
      <w:pPr>
        <w:ind w:hanging="360" w:left="2880"/>
        <w:tabs>
          <w:tab w:val="left" w:pos="2880" w:leader="none"/>
        </w:tabs>
      </w:pPr>
      <w:rPr>
        <w:rFonts w:ascii="Symbol" w:hAnsi="Symbol"/>
      </w:rPr>
    </w:lvl>
    <w:lvl w:ilvl="4" w:tplc="5985557B">
      <w:start w:val="1"/>
      <w:numFmt w:val="bullet"/>
      <w:suff w:val="tab"/>
      <w:lvlText w:val="o"/>
      <w:lvlJc w:val="left"/>
      <w:pPr>
        <w:ind w:hanging="360" w:left="3600"/>
        <w:tabs>
          <w:tab w:val="left" w:pos="3600" w:leader="none"/>
        </w:tabs>
      </w:pPr>
      <w:rPr>
        <w:rFonts w:ascii="Courier New" w:hAnsi="Courier New"/>
      </w:rPr>
    </w:lvl>
    <w:lvl w:ilvl="5" w:tplc="5755D616">
      <w:start w:val="1"/>
      <w:numFmt w:val="bullet"/>
      <w:suff w:val="tab"/>
      <w:lvlText w:val=""/>
      <w:lvlJc w:val="left"/>
      <w:pPr>
        <w:ind w:hanging="360" w:left="4320"/>
        <w:tabs>
          <w:tab w:val="left" w:pos="4320" w:leader="none"/>
        </w:tabs>
      </w:pPr>
      <w:rPr>
        <w:rFonts w:ascii="Wingdings" w:hAnsi="Wingdings"/>
      </w:rPr>
    </w:lvl>
    <w:lvl w:ilvl="6" w:tplc="3F5A5DBB">
      <w:start w:val="1"/>
      <w:numFmt w:val="bullet"/>
      <w:suff w:val="tab"/>
      <w:lvlText w:val=""/>
      <w:lvlJc w:val="left"/>
      <w:pPr>
        <w:ind w:hanging="360" w:left="5040"/>
        <w:tabs>
          <w:tab w:val="left" w:pos="5040" w:leader="none"/>
        </w:tabs>
      </w:pPr>
      <w:rPr>
        <w:rFonts w:ascii="Symbol" w:hAnsi="Symbol"/>
      </w:rPr>
    </w:lvl>
    <w:lvl w:ilvl="7" w:tplc="021A2752">
      <w:start w:val="1"/>
      <w:numFmt w:val="bullet"/>
      <w:suff w:val="tab"/>
      <w:lvlText w:val="o"/>
      <w:lvlJc w:val="left"/>
      <w:pPr>
        <w:ind w:hanging="360" w:left="5760"/>
        <w:tabs>
          <w:tab w:val="left" w:pos="5760" w:leader="none"/>
        </w:tabs>
      </w:pPr>
      <w:rPr>
        <w:rFonts w:ascii="Courier New" w:hAnsi="Courier New"/>
      </w:rPr>
    </w:lvl>
    <w:lvl w:ilvl="8" w:tplc="3584FCEB">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8B1DD55">
      <w:start w:val="1"/>
      <w:numFmt w:val="bullet"/>
      <w:suff w:val="tab"/>
      <w:lvlText w:val=""/>
      <w:lvlJc w:val="left"/>
      <w:pPr>
        <w:ind w:hanging="360" w:left="720"/>
        <w:tabs>
          <w:tab w:val="left" w:pos="720" w:leader="none"/>
        </w:tabs>
      </w:pPr>
      <w:rPr>
        <w:rFonts w:ascii="Symbol" w:hAnsi="Symbol"/>
      </w:rPr>
    </w:lvl>
    <w:lvl w:ilvl="1" w:tplc="7E2FD09C">
      <w:start w:val="1"/>
      <w:numFmt w:val="bullet"/>
      <w:suff w:val="tab"/>
      <w:lvlText w:val="o"/>
      <w:lvlJc w:val="left"/>
      <w:pPr>
        <w:ind w:hanging="360" w:left="1440"/>
        <w:tabs>
          <w:tab w:val="left" w:pos="1440" w:leader="none"/>
        </w:tabs>
      </w:pPr>
      <w:rPr>
        <w:rFonts w:ascii="Courier New" w:hAnsi="Courier New"/>
      </w:rPr>
    </w:lvl>
    <w:lvl w:ilvl="2" w:tplc="5EC77125">
      <w:start w:val="1"/>
      <w:numFmt w:val="bullet"/>
      <w:suff w:val="tab"/>
      <w:lvlText w:val=""/>
      <w:lvlJc w:val="left"/>
      <w:pPr>
        <w:ind w:hanging="360" w:left="2160"/>
        <w:tabs>
          <w:tab w:val="left" w:pos="2160" w:leader="none"/>
        </w:tabs>
      </w:pPr>
      <w:rPr>
        <w:rFonts w:ascii="Wingdings" w:hAnsi="Wingdings"/>
      </w:rPr>
    </w:lvl>
    <w:lvl w:ilvl="3" w:tplc="5F65DD83">
      <w:start w:val="1"/>
      <w:numFmt w:val="bullet"/>
      <w:suff w:val="tab"/>
      <w:lvlText w:val=""/>
      <w:lvlJc w:val="left"/>
      <w:pPr>
        <w:ind w:hanging="360" w:left="2880"/>
        <w:tabs>
          <w:tab w:val="left" w:pos="2880" w:leader="none"/>
        </w:tabs>
      </w:pPr>
      <w:rPr>
        <w:rFonts w:ascii="Symbol" w:hAnsi="Symbol"/>
      </w:rPr>
    </w:lvl>
    <w:lvl w:ilvl="4" w:tplc="2DFF5E10">
      <w:start w:val="1"/>
      <w:numFmt w:val="bullet"/>
      <w:suff w:val="tab"/>
      <w:lvlText w:val="o"/>
      <w:lvlJc w:val="left"/>
      <w:pPr>
        <w:ind w:hanging="360" w:left="3600"/>
        <w:tabs>
          <w:tab w:val="left" w:pos="3600" w:leader="none"/>
        </w:tabs>
      </w:pPr>
      <w:rPr>
        <w:rFonts w:ascii="Courier New" w:hAnsi="Courier New"/>
      </w:rPr>
    </w:lvl>
    <w:lvl w:ilvl="5" w:tplc="5BFF4E70">
      <w:start w:val="1"/>
      <w:numFmt w:val="bullet"/>
      <w:suff w:val="tab"/>
      <w:lvlText w:val=""/>
      <w:lvlJc w:val="left"/>
      <w:pPr>
        <w:ind w:hanging="360" w:left="4320"/>
        <w:tabs>
          <w:tab w:val="left" w:pos="4320" w:leader="none"/>
        </w:tabs>
      </w:pPr>
      <w:rPr>
        <w:rFonts w:ascii="Wingdings" w:hAnsi="Wingdings"/>
      </w:rPr>
    </w:lvl>
    <w:lvl w:ilvl="6" w:tplc="0E981BA8">
      <w:start w:val="1"/>
      <w:numFmt w:val="bullet"/>
      <w:suff w:val="tab"/>
      <w:lvlText w:val=""/>
      <w:lvlJc w:val="left"/>
      <w:pPr>
        <w:ind w:hanging="360" w:left="5040"/>
        <w:tabs>
          <w:tab w:val="left" w:pos="5040" w:leader="none"/>
        </w:tabs>
      </w:pPr>
      <w:rPr>
        <w:rFonts w:ascii="Symbol" w:hAnsi="Symbol"/>
      </w:rPr>
    </w:lvl>
    <w:lvl w:ilvl="7" w:tplc="5BF5AF41">
      <w:start w:val="1"/>
      <w:numFmt w:val="bullet"/>
      <w:suff w:val="tab"/>
      <w:lvlText w:val="o"/>
      <w:lvlJc w:val="left"/>
      <w:pPr>
        <w:ind w:hanging="360" w:left="5760"/>
        <w:tabs>
          <w:tab w:val="left" w:pos="5760" w:leader="none"/>
        </w:tabs>
      </w:pPr>
      <w:rPr>
        <w:rFonts w:ascii="Courier New" w:hAnsi="Courier New"/>
      </w:rPr>
    </w:lvl>
    <w:lvl w:ilvl="8" w:tplc="410275F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314096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2012-06-29T11:36:00Z</dcterms:created>
  <cp:lastModifiedBy>Ethan Puglia</cp:lastModifiedBy>
  <cp:lastPrinted>2012-07-03T15:29:00Z</cp:lastPrinted>
  <dcterms:modified xsi:type="dcterms:W3CDTF">2019-03-28T17:33:03Z</dcterms:modified>
  <cp:revision>11</cp:revision>
  <dc:title>PROYECTO DE ORDENANZA VIOLENCIA FAMILIAR</dc:title>
</cp:coreProperties>
</file>