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544692" Type="http://schemas.openxmlformats.org/officeDocument/2006/relationships/officeDocument" Target="/word/document.xml" /><Relationship Id="coreR754469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9328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Visto: La necesidad de  adecuar  la legislación vigente a nuevos requerimientos de la sociedad derivados de los avances tecnológicos;</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ind w:hanging="426" w:left="426"/>
        <w:rPr>
          <w:rStyle w:val="C3"/>
          <w:rFonts w:ascii="Courier New" w:hAnsi="Courier New"/>
        </w:rPr>
      </w:pPr>
      <w:r>
        <w:rPr>
          <w:rStyle w:val="C3"/>
          <w:rFonts w:ascii="Courier New" w:hAnsi="Courier New"/>
        </w:rPr>
        <w:t xml:space="preserve">   Que entre los requerimientos están los relacionados  con la instalación, factibilidad de ubicación de estructuras portantes  de  Antenas y Equipos de comunicaciones de telefonía fija y celular;</w:t>
      </w:r>
    </w:p>
    <w:p>
      <w:pPr>
        <w:ind w:hanging="426" w:left="426"/>
        <w:rPr>
          <w:rStyle w:val="C3"/>
        </w:rPr>
      </w:pPr>
    </w:p>
    <w:p>
      <w:pPr>
        <w:ind w:hanging="426" w:left="426"/>
        <w:jc w:val="both"/>
        <w:rPr>
          <w:rStyle w:val="C3"/>
          <w:rFonts w:ascii="Courier New" w:hAnsi="Courier New"/>
        </w:rPr>
      </w:pPr>
      <w:r>
        <w:rPr>
          <w:rStyle w:val="C3"/>
          <w:rFonts w:ascii="Courier New" w:hAnsi="Courier New"/>
        </w:rPr>
        <w:t xml:space="preserve">   Que existen solicitudes  de habilitación y factibilidad de ubicación de estructuras portantes para antenas de telefonía;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Que el Estado Municipal debe regular y controlar la ubicación y formas de colocación de este tipo de estructuras;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Que asimismo debe existir una norma genérica que establezca los parámetros básicos de los requisitos que serán solicitados a los interesados en colocar este tipo de estructuras;</w:t>
      </w:r>
    </w:p>
    <w:p>
      <w:pPr>
        <w:spacing w:beforeAutospacing="1" w:afterAutospacing="1"/>
        <w:jc w:val="right"/>
        <w:rPr>
          <w:rStyle w:val="C3"/>
          <w:rFonts w:ascii="Courier New" w:hAnsi="Courier New"/>
        </w:rPr>
      </w:pPr>
      <w:r>
        <w:rPr>
          <w:rStyle w:val="C3"/>
          <w:rFonts w:ascii="Courier New" w:hAnsi="Courier New"/>
        </w:rPr>
        <w:t xml:space="preserve"> </w:t>
      </w:r>
    </w:p>
    <w:p>
      <w:pPr>
        <w:spacing w:lineRule="auto" w:line="276" w:beforeAutospacing="1" w:afterAutospacing="1"/>
        <w:jc w:val="both"/>
        <w:rPr>
          <w:rStyle w:val="C3"/>
          <w:rFonts w:ascii="Courier New" w:hAnsi="Courier New"/>
        </w:rPr>
      </w:pPr>
      <w:r>
        <w:rPr>
          <w:rStyle w:val="C3"/>
          <w:rFonts w:ascii="Courier New" w:hAnsi="Courier New"/>
        </w:rPr>
        <w:t xml:space="preserve">        </w:t>
      </w: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DISPÓNGASE </w:t>
      </w:r>
      <w:r>
        <w:rPr>
          <w:rStyle w:val="C3"/>
          <w:rFonts w:ascii="Courier New" w:hAnsi="Courier New"/>
        </w:rPr>
        <w:t>que la Secretaria de Obras y Servicios Públicos será la encargada de otorgar la aprobación de factibilidad de ubicación de estructuras portantes de antenas de telefonía fija y celular.</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ESTABLÉZCASE </w:t>
      </w:r>
      <w:r>
        <w:rPr>
          <w:rStyle w:val="C3"/>
          <w:rFonts w:ascii="Courier New" w:hAnsi="Courier New"/>
        </w:rPr>
        <w:t>que la habilitación para el funcionamiento de estructuras portantes de antenas de telefonía fija y celular, tendrá una vigencia de 5 años.-</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 xml:space="preserve">ESTABLÉZCASE </w:t>
      </w:r>
      <w:r>
        <w:rPr>
          <w:rStyle w:val="C3"/>
          <w:rFonts w:ascii="Courier New" w:hAnsi="Courier New"/>
        </w:rPr>
        <w:t>la obligación de una verificación anual de cumplimiento de normas de seguridad y condiciones de registraciones de cada estructura portante y sus infraestructuras directamente relacionadas.-</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TODOS</w:t>
      </w:r>
      <w:r>
        <w:rPr>
          <w:rStyle w:val="C3"/>
          <w:rFonts w:ascii="Courier New" w:hAnsi="Courier New"/>
        </w:rPr>
        <w:t xml:space="preserve"> estos servicios se otorgaran previo pago de las tasas municipales vigentes.-</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reglamentación técnica de formas y requisitos será dada por la secretaria de Obras y Servicios Públicos, bajo los siguientes parámetros:</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1. Presentación por parte del interesado de un informe subscripto por profesional universitario con incumbencia suficiente, que certifique de la capacidad suficiente de las estructuras portante de antena, conforme a condiciones de terreno, vientos, vecindario y demás características; a fin de prestar el servicio sin riesgo para vecinos y terceros.-</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2. Presentación por parte del interesado de un informe subscripto por el Laboratorio de Investigación Aplicada y Desarrollo (LIADE) dependiente de la Facultad de Ciencias Exactas, Físicas y Naturales de la Universidad Nacional de Córdoba, o la repartición pública que la reemplace en el futuro,  sobre las mediciones no ionizantes emitidas por las antenas de telefonía ubicadas en cada estructura portante, con un detallado informe que determine que se encuentran dentro de las normas de seguridad para personas y cosas de conformidad a la legislación vigente y criterio de precaución  en protección de la salud.-</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3. Certificación de los equipos de medición utilizados por el punto anterior y sus respectivas homologaciones conforme legislación vigente.</w:t>
      </w:r>
    </w:p>
    <w:p>
      <w:pPr>
        <w:ind w:hanging="426" w:left="426"/>
        <w:jc w:val="both"/>
        <w:rPr>
          <w:rStyle w:val="C3"/>
          <w:rFonts w:ascii="Courier New" w:hAnsi="Courier New"/>
        </w:rPr>
      </w:pPr>
      <w:r>
        <w:rPr>
          <w:rStyle w:val="C3"/>
          <w:rFonts w:ascii="Courier New" w:hAnsi="Courier New"/>
        </w:rPr>
        <w:t xml:space="preserve">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4. Presentación de titularidad de propietario de los inmuebles, sus respectivas autorizaciones firmadas ante autoridad certificante de autenticidad para la instalación de estructuras y antenas.</w:t>
      </w:r>
    </w:p>
    <w:p>
      <w:pPr>
        <w:ind w:hanging="426" w:left="426"/>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rPr>
        <w:t xml:space="preserve">   5. Presentación de la empresa propietaria adquiriendo responsabilidad por el uso de las instalaciones y acompañando la contratación de un seguro por responsabilidad civil con cobertura por el monto mínimo suficiente que determine el Departamento Ejecutivo, a favor del estado municipal.</w:t>
      </w:r>
    </w:p>
    <w:p>
      <w:pPr>
        <w:ind w:hanging="426" w:left="426"/>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rPr>
        <w:t xml:space="preserve">   7. Presentación de planos y demás exigencias para obras civiles privadas.</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ONCE DÍAS DEL MES JULIO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63F82A4">
      <w:start w:val="0"/>
      <w:numFmt w:val="bullet"/>
      <w:suff w:val="tab"/>
      <w:lvlText w:val=""/>
      <w:lvlJc w:val="left"/>
      <w:pPr>
        <w:ind w:hanging="360" w:left="927"/>
      </w:pPr>
      <w:rPr>
        <w:rFonts w:ascii="Symbol" w:hAnsi="Symbol"/>
      </w:rPr>
    </w:lvl>
    <w:lvl w:ilvl="1" w:tplc="669BF906">
      <w:start w:val="1"/>
      <w:numFmt w:val="bullet"/>
      <w:suff w:val="tab"/>
      <w:lvlText w:val="o"/>
      <w:lvlJc w:val="left"/>
      <w:pPr>
        <w:ind w:hanging="360" w:left="1647"/>
      </w:pPr>
      <w:rPr>
        <w:rFonts w:ascii="Courier New" w:hAnsi="Courier New"/>
      </w:rPr>
    </w:lvl>
    <w:lvl w:ilvl="2" w:tplc="55D91CEB">
      <w:start w:val="1"/>
      <w:numFmt w:val="bullet"/>
      <w:suff w:val="tab"/>
      <w:lvlText w:val=""/>
      <w:lvlJc w:val="left"/>
      <w:pPr>
        <w:ind w:hanging="360" w:left="2367"/>
      </w:pPr>
      <w:rPr>
        <w:rFonts w:ascii="Wingdings" w:hAnsi="Wingdings"/>
      </w:rPr>
    </w:lvl>
    <w:lvl w:ilvl="3" w:tplc="79C5A82D">
      <w:start w:val="1"/>
      <w:numFmt w:val="bullet"/>
      <w:suff w:val="tab"/>
      <w:lvlText w:val=""/>
      <w:lvlJc w:val="left"/>
      <w:pPr>
        <w:ind w:hanging="360" w:left="3087"/>
      </w:pPr>
      <w:rPr>
        <w:rFonts w:ascii="Symbol" w:hAnsi="Symbol"/>
      </w:rPr>
    </w:lvl>
    <w:lvl w:ilvl="4" w:tplc="5F8E3C5D">
      <w:start w:val="1"/>
      <w:numFmt w:val="bullet"/>
      <w:suff w:val="tab"/>
      <w:lvlText w:val="o"/>
      <w:lvlJc w:val="left"/>
      <w:pPr>
        <w:ind w:hanging="360" w:left="3807"/>
      </w:pPr>
      <w:rPr>
        <w:rFonts w:ascii="Courier New" w:hAnsi="Courier New"/>
      </w:rPr>
    </w:lvl>
    <w:lvl w:ilvl="5" w:tplc="2B5FBA00">
      <w:start w:val="1"/>
      <w:numFmt w:val="bullet"/>
      <w:suff w:val="tab"/>
      <w:lvlText w:val=""/>
      <w:lvlJc w:val="left"/>
      <w:pPr>
        <w:ind w:hanging="360" w:left="4527"/>
      </w:pPr>
      <w:rPr>
        <w:rFonts w:ascii="Wingdings" w:hAnsi="Wingdings"/>
      </w:rPr>
    </w:lvl>
    <w:lvl w:ilvl="6" w:tplc="00053823">
      <w:start w:val="1"/>
      <w:numFmt w:val="bullet"/>
      <w:suff w:val="tab"/>
      <w:lvlText w:val=""/>
      <w:lvlJc w:val="left"/>
      <w:pPr>
        <w:ind w:hanging="360" w:left="5247"/>
      </w:pPr>
      <w:rPr>
        <w:rFonts w:ascii="Symbol" w:hAnsi="Symbol"/>
      </w:rPr>
    </w:lvl>
    <w:lvl w:ilvl="7" w:tplc="5D2D4404">
      <w:start w:val="1"/>
      <w:numFmt w:val="bullet"/>
      <w:suff w:val="tab"/>
      <w:lvlText w:val="o"/>
      <w:lvlJc w:val="left"/>
      <w:pPr>
        <w:ind w:hanging="360" w:left="5967"/>
      </w:pPr>
      <w:rPr>
        <w:rFonts w:ascii="Courier New" w:hAnsi="Courier New"/>
      </w:rPr>
    </w:lvl>
    <w:lvl w:ilvl="8" w:tplc="1599B54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CFD2EA0">
      <w:start w:val="0"/>
      <w:numFmt w:val="bullet"/>
      <w:suff w:val="tab"/>
      <w:lvlText w:val="-"/>
      <w:lvlJc w:val="left"/>
      <w:pPr>
        <w:ind w:hanging="360" w:left="720"/>
        <w:tabs>
          <w:tab w:val="left" w:pos="720" w:leader="none"/>
        </w:tabs>
      </w:pPr>
      <w:rPr>
        <w:rFonts w:ascii="Times New Roman" w:hAnsi="Times New Roman"/>
      </w:rPr>
    </w:lvl>
    <w:lvl w:ilvl="1" w:tplc="53654309">
      <w:start w:val="1"/>
      <w:numFmt w:val="bullet"/>
      <w:suff w:val="tab"/>
      <w:lvlText w:val="o"/>
      <w:lvlJc w:val="left"/>
      <w:pPr>
        <w:ind w:hanging="360" w:left="1440"/>
        <w:tabs>
          <w:tab w:val="left" w:pos="1440" w:leader="none"/>
        </w:tabs>
      </w:pPr>
      <w:rPr>
        <w:rFonts w:ascii="Courier New" w:hAnsi="Courier New"/>
      </w:rPr>
    </w:lvl>
    <w:lvl w:ilvl="2" w:tplc="6F8ED976">
      <w:start w:val="1"/>
      <w:numFmt w:val="bullet"/>
      <w:suff w:val="tab"/>
      <w:lvlText w:val=""/>
      <w:lvlJc w:val="left"/>
      <w:pPr>
        <w:ind w:hanging="360" w:left="2160"/>
        <w:tabs>
          <w:tab w:val="left" w:pos="2160" w:leader="none"/>
        </w:tabs>
      </w:pPr>
      <w:rPr>
        <w:rFonts w:ascii="Wingdings" w:hAnsi="Wingdings"/>
      </w:rPr>
    </w:lvl>
    <w:lvl w:ilvl="3" w:tplc="1C2C11F2">
      <w:start w:val="1"/>
      <w:numFmt w:val="bullet"/>
      <w:suff w:val="tab"/>
      <w:lvlText w:val=""/>
      <w:lvlJc w:val="left"/>
      <w:pPr>
        <w:ind w:hanging="360" w:left="2880"/>
        <w:tabs>
          <w:tab w:val="left" w:pos="2880" w:leader="none"/>
        </w:tabs>
      </w:pPr>
      <w:rPr>
        <w:rFonts w:ascii="Symbol" w:hAnsi="Symbol"/>
      </w:rPr>
    </w:lvl>
    <w:lvl w:ilvl="4" w:tplc="291E16BC">
      <w:start w:val="1"/>
      <w:numFmt w:val="bullet"/>
      <w:suff w:val="tab"/>
      <w:lvlText w:val="o"/>
      <w:lvlJc w:val="left"/>
      <w:pPr>
        <w:ind w:hanging="360" w:left="3600"/>
        <w:tabs>
          <w:tab w:val="left" w:pos="3600" w:leader="none"/>
        </w:tabs>
      </w:pPr>
      <w:rPr>
        <w:rFonts w:ascii="Courier New" w:hAnsi="Courier New"/>
      </w:rPr>
    </w:lvl>
    <w:lvl w:ilvl="5" w:tplc="70223949">
      <w:start w:val="1"/>
      <w:numFmt w:val="bullet"/>
      <w:suff w:val="tab"/>
      <w:lvlText w:val=""/>
      <w:lvlJc w:val="left"/>
      <w:pPr>
        <w:ind w:hanging="360" w:left="4320"/>
        <w:tabs>
          <w:tab w:val="left" w:pos="4320" w:leader="none"/>
        </w:tabs>
      </w:pPr>
      <w:rPr>
        <w:rFonts w:ascii="Wingdings" w:hAnsi="Wingdings"/>
      </w:rPr>
    </w:lvl>
    <w:lvl w:ilvl="6" w:tplc="7B293E85">
      <w:start w:val="1"/>
      <w:numFmt w:val="bullet"/>
      <w:suff w:val="tab"/>
      <w:lvlText w:val=""/>
      <w:lvlJc w:val="left"/>
      <w:pPr>
        <w:ind w:hanging="360" w:left="5040"/>
        <w:tabs>
          <w:tab w:val="left" w:pos="5040" w:leader="none"/>
        </w:tabs>
      </w:pPr>
      <w:rPr>
        <w:rFonts w:ascii="Symbol" w:hAnsi="Symbol"/>
      </w:rPr>
    </w:lvl>
    <w:lvl w:ilvl="7" w:tplc="33AC267F">
      <w:start w:val="1"/>
      <w:numFmt w:val="bullet"/>
      <w:suff w:val="tab"/>
      <w:lvlText w:val="o"/>
      <w:lvlJc w:val="left"/>
      <w:pPr>
        <w:ind w:hanging="360" w:left="5760"/>
        <w:tabs>
          <w:tab w:val="left" w:pos="5760" w:leader="none"/>
        </w:tabs>
      </w:pPr>
      <w:rPr>
        <w:rFonts w:ascii="Courier New" w:hAnsi="Courier New"/>
      </w:rPr>
    </w:lvl>
    <w:lvl w:ilvl="8" w:tplc="71A50670">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37B2AD0">
      <w:start w:val="1"/>
      <w:numFmt w:val="bullet"/>
      <w:suff w:val="tab"/>
      <w:lvlText w:val=""/>
      <w:lvlJc w:val="left"/>
      <w:pPr>
        <w:ind w:hanging="360" w:left="720"/>
        <w:tabs>
          <w:tab w:val="left" w:pos="720" w:leader="none"/>
        </w:tabs>
      </w:pPr>
      <w:rPr>
        <w:rFonts w:ascii="Symbol" w:hAnsi="Symbol"/>
      </w:rPr>
    </w:lvl>
    <w:lvl w:ilvl="1" w:tplc="0A6B3157">
      <w:start w:val="1"/>
      <w:numFmt w:val="bullet"/>
      <w:suff w:val="tab"/>
      <w:lvlText w:val="o"/>
      <w:lvlJc w:val="left"/>
      <w:pPr>
        <w:ind w:hanging="360" w:left="1440"/>
        <w:tabs>
          <w:tab w:val="left" w:pos="1440" w:leader="none"/>
        </w:tabs>
      </w:pPr>
      <w:rPr>
        <w:rFonts w:ascii="Courier New" w:hAnsi="Courier New"/>
      </w:rPr>
    </w:lvl>
    <w:lvl w:ilvl="2" w:tplc="21C29197">
      <w:start w:val="1"/>
      <w:numFmt w:val="bullet"/>
      <w:suff w:val="tab"/>
      <w:lvlText w:val=""/>
      <w:lvlJc w:val="left"/>
      <w:pPr>
        <w:ind w:hanging="360" w:left="2160"/>
        <w:tabs>
          <w:tab w:val="left" w:pos="2160" w:leader="none"/>
        </w:tabs>
      </w:pPr>
      <w:rPr>
        <w:rFonts w:ascii="Wingdings" w:hAnsi="Wingdings"/>
      </w:rPr>
    </w:lvl>
    <w:lvl w:ilvl="3" w:tplc="20539FA3">
      <w:start w:val="1"/>
      <w:numFmt w:val="bullet"/>
      <w:suff w:val="tab"/>
      <w:lvlText w:val=""/>
      <w:lvlJc w:val="left"/>
      <w:pPr>
        <w:ind w:hanging="360" w:left="2880"/>
        <w:tabs>
          <w:tab w:val="left" w:pos="2880" w:leader="none"/>
        </w:tabs>
      </w:pPr>
      <w:rPr>
        <w:rFonts w:ascii="Symbol" w:hAnsi="Symbol"/>
      </w:rPr>
    </w:lvl>
    <w:lvl w:ilvl="4" w:tplc="0160CED3">
      <w:start w:val="1"/>
      <w:numFmt w:val="bullet"/>
      <w:suff w:val="tab"/>
      <w:lvlText w:val="o"/>
      <w:lvlJc w:val="left"/>
      <w:pPr>
        <w:ind w:hanging="360" w:left="3600"/>
        <w:tabs>
          <w:tab w:val="left" w:pos="3600" w:leader="none"/>
        </w:tabs>
      </w:pPr>
      <w:rPr>
        <w:rFonts w:ascii="Courier New" w:hAnsi="Courier New"/>
      </w:rPr>
    </w:lvl>
    <w:lvl w:ilvl="5" w:tplc="24859CBB">
      <w:start w:val="1"/>
      <w:numFmt w:val="bullet"/>
      <w:suff w:val="tab"/>
      <w:lvlText w:val=""/>
      <w:lvlJc w:val="left"/>
      <w:pPr>
        <w:ind w:hanging="360" w:left="4320"/>
        <w:tabs>
          <w:tab w:val="left" w:pos="4320" w:leader="none"/>
        </w:tabs>
      </w:pPr>
      <w:rPr>
        <w:rFonts w:ascii="Wingdings" w:hAnsi="Wingdings"/>
      </w:rPr>
    </w:lvl>
    <w:lvl w:ilvl="6" w:tplc="54084F4E">
      <w:start w:val="1"/>
      <w:numFmt w:val="bullet"/>
      <w:suff w:val="tab"/>
      <w:lvlText w:val=""/>
      <w:lvlJc w:val="left"/>
      <w:pPr>
        <w:ind w:hanging="360" w:left="5040"/>
        <w:tabs>
          <w:tab w:val="left" w:pos="5040" w:leader="none"/>
        </w:tabs>
      </w:pPr>
      <w:rPr>
        <w:rFonts w:ascii="Symbol" w:hAnsi="Symbol"/>
      </w:rPr>
    </w:lvl>
    <w:lvl w:ilvl="7" w:tplc="191699D9">
      <w:start w:val="1"/>
      <w:numFmt w:val="bullet"/>
      <w:suff w:val="tab"/>
      <w:lvlText w:val="o"/>
      <w:lvlJc w:val="left"/>
      <w:pPr>
        <w:ind w:hanging="360" w:left="5760"/>
        <w:tabs>
          <w:tab w:val="left" w:pos="5760" w:leader="none"/>
        </w:tabs>
      </w:pPr>
      <w:rPr>
        <w:rFonts w:ascii="Courier New" w:hAnsi="Courier New"/>
      </w:rPr>
    </w:lvl>
    <w:lvl w:ilvl="8" w:tplc="72BEF0F7">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1658773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A8E04C6"/>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8"/>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2"/>
  </w:num>
  <w:num w:numId="14">
    <w:abstractNumId w:val="27"/>
  </w:num>
  <w:num w:numId="15">
    <w:abstractNumId w:val="25"/>
  </w:num>
  <w:num w:numId="16">
    <w:abstractNumId w:val="15"/>
  </w:num>
  <w:num w:numId="17">
    <w:abstractNumId w:val="16"/>
  </w:num>
  <w:num w:numId="18">
    <w:abstractNumId w:val="29"/>
  </w:num>
  <w:num w:numId="19">
    <w:abstractNumId w:val="10"/>
  </w:num>
  <w:num w:numId="20">
    <w:abstractNumId w:val="4"/>
  </w:num>
  <w:num w:numId="21">
    <w:abstractNumId w:val="1"/>
  </w:num>
  <w:num w:numId="22">
    <w:abstractNumId w:val="20"/>
  </w:num>
  <w:num w:numId="23">
    <w:abstractNumId w:val="30"/>
  </w:num>
  <w:num w:numId="24">
    <w:abstractNumId w:val="24"/>
  </w:num>
  <w:num w:numId="25">
    <w:abstractNumId w:val="11"/>
  </w:num>
  <w:num w:numId="26">
    <w:abstractNumId w:val="31"/>
  </w:num>
  <w:num w:numId="27">
    <w:abstractNumId w:val="2"/>
  </w:num>
  <w:num w:numId="28">
    <w:abstractNumId w:val="22"/>
  </w:num>
  <w:num w:numId="29">
    <w:abstractNumId w:val="5"/>
  </w:num>
  <w:num w:numId="30">
    <w:abstractNumId w:val="14"/>
  </w:num>
  <w:num w:numId="31">
    <w:abstractNumId w:val="0"/>
  </w:num>
  <w:num w:numId="32">
    <w:abstractNumId w:val="12"/>
  </w:num>
  <w:num w:numId="33">
    <w:abstractNumId w:val="2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2012-07-11T16:51:00Z</dcterms:created>
  <cp:lastModifiedBy>Ethan Puglia</cp:lastModifiedBy>
  <cp:lastPrinted>2012-07-05T15:37:00Z</cp:lastPrinted>
  <dcterms:modified xsi:type="dcterms:W3CDTF">2019-03-28T17:33:03Z</dcterms:modified>
  <cp:revision>7</cp:revision>
  <dc:title>PROYECTO DE ORDENANZA VIOLENCIA FAMILIAR</dc:title>
</cp:coreProperties>
</file>