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2DABCE" Type="http://schemas.openxmlformats.org/officeDocument/2006/relationships/officeDocument" Target="/word/document.xml" /><Relationship Id="coreR632DABC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9329 </w:t>
      </w:r>
    </w:p>
    <w:p/>
    <w:p/>
    <w:p>
      <w:pPr>
        <w:spacing w:lineRule="auto" w:line="276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General Impositiva Nº 3873 y sus modificatorias y la Ordenanza Tarifaria Nº 9224 correspondiente al ejercicio 2012;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 adecuar  la legislación vigente a nuevos requerimientos de la sociedad derivados de los avances tecnológicos;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entre los requerimientos están los relacionados  con la instalación, factibilidad de ubicación de estructuras portantes  de  Antenas y Equipos de comunicaciones de telefonía fija y celular;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tal fin hay que modificar la Ordenanza General Impositiva Nº 3873 y sus modificatorias y la Ordenanza Tarifaria correspondiente al ejercicio 2012, Nº 9224;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Proyecto de Ordenanza  por el Concejo constituido en Comisión se emite despacho por unanimidad aprobándolo en general y en particular con modificación, despacho aprobado por unanimidad en sesión de fecha 11 de julio de 2012.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</w:t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AGRÉ</w:t>
      </w:r>
      <w:r>
        <w:rPr>
          <w:rStyle w:val="C3"/>
          <w:rFonts w:ascii="Courier New" w:hAnsi="Courier New"/>
          <w:b w:val="1"/>
        </w:rPr>
        <w:t xml:space="preserve">GUESE </w:t>
      </w:r>
      <w:r>
        <w:rPr>
          <w:rStyle w:val="C3"/>
          <w:rFonts w:ascii="Courier New" w:hAnsi="Courier New"/>
        </w:rPr>
        <w:t>a la Ordenanza Nº 3873 lo siguiente: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Titulo XI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Capítulo VI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Estructuras portantes de las antenas que utilizan prestadoras de telefonía fija y celular.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TASAS POR HABILITACIÖN Y ESTUDIO DE FACTIBILIDAD DE UBICACIÓN E INSPECCIÖN DE ESTRUCTURAS PORTANTES E INFRAESTRUCTURAS RELACIONADAS.-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Art. 189 bis: HECHOS IMPONIBLES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Inc. 1: Tasa retributiva del servicio de análisis y eventual aprobación del “estudio de factibilidad de localización”, una sola vez.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Inc. 2: Tasa retributiva del servicio de análisis y eventual “otorgamiento de habilitación”, con una validez de cinco (5) años calendario.-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Inc. 3: Tasa anual de verificación de cumplimiento de normas de seguridad y condiciones de registración de cada estructura portante y sus infraestructuras directamente relacionadas.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Art. 189 ter: Son contribuyentes de la tasa determinada  en éste capítulo, las empresas prestadoras de los servicios de telefonía celular o fija propietaria de las estructuras portantes, y los propietarios de los inmuebles donde se asientan, de manera mancomunada y solidaria.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Art. 189 quater: El servicio de “otorgamiento de habilitación” relativo a estructuras portantes a que se refiere este capítulo, realizadas sin la habilitación correspondiente, abonarán sobre la tasa ordinaria, una sobre tasa equivalente a cinco (5) veces el valor de una tasa anual de verificación, conforme al art. 189 bis inc. 3.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Art. 189 quinter: PAGO: las tasas determinadas en el art, 189 bis inc. 1 y 2: el vencimiento se produce al solicitar el servicio. En la determinada en el art. 189 bis inc. 3 los días que indique la Ordenanza Tarifaria Anual.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AGREGUESE</w:t>
      </w:r>
      <w:r>
        <w:rPr>
          <w:rStyle w:val="C3"/>
          <w:rFonts w:ascii="Courier New" w:hAnsi="Courier New"/>
        </w:rPr>
        <w:t xml:space="preserve"> a la Ordenanza Nº 9224, lo siguiente: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Capitulo II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TASAS POR HABILITACION Y ESTUDIO DE FACTIBILIDAD DE UBICACIÓN E INSPECCION DE ESTRUCTURAS PORTANTES E INFRAESTRUCTURAS RELACIONADAS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Tasas establecidas en el art. 189 bis de la ordenanza 3873 y sus modificatorias, se fijan en los siguientes valores: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Inc. 1………………………….. $10.000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Inc. 2………………………….. $20.000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Inc. 3…………….……………. $30.000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El vencimiento de la tasa anual establecida por el art. 189 bis inc. 3 de la ordenanza 3873 y sus modificatorias, se produce el 30 de junio de cada año.-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 CLAUSULA TRANSITORIA: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Establézcase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que de     autorizarse la instalación de alguna estructura desde la promulgación de la presente y hasta fin de año, el pago de la tasa establecida en el art. 189 bis inc.3 de la Ordenanza Nº 3873  y sus modificatorias, se abonará al momento de solicitarse la habilitación.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ONCE DÍAS DEL MES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667316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C94B69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7D86F8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E13116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59D488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7F6C84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799D98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0335BB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287A24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A0FC32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2F8D49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EAC63C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221A08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D7FA3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73B038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072670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E920B6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CD0E49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8CE873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3CDA2A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6DF5AB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6FEB1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09DB5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4B809A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EBDAF4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E1AFC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41FE64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5EBE30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2012-07-11T16:41:00Z</dcterms:created>
  <cp:lastModifiedBy>Ethan Puglia</cp:lastModifiedBy>
  <cp:lastPrinted>2012-07-05T15:37:00Z</cp:lastPrinted>
  <dcterms:modified xsi:type="dcterms:W3CDTF">2019-03-28T17:33:03Z</dcterms:modified>
  <cp:revision>9</cp:revision>
  <dc:title>PROYECTO DE ORDENANZA VIOLENCIA FAMILIAR</dc:title>
</cp:coreProperties>
</file>