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33EBD5" Type="http://schemas.openxmlformats.org/officeDocument/2006/relationships/officeDocument" Target="/word/document.xml" /><Relationship Id="coreR7433EBD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9330 </w:t>
      </w:r>
    </w:p>
    <w:p/>
    <w:p/>
    <w:p>
      <w:pPr>
        <w:spacing w:lineRule="auto" w:line="276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necesidad de regular el valor respecto de la limpieza de malezas y mantenimiento en condiciones de higiene de fincas y/o terrenos comprendidos en el ejido Municipal; y                       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conforme a las Ordenanzas Nº 1118 y Nº 3335, a consecuencia de que, quienes se encuentran intimados por el Juzgado Administrativo  de Faltas no ejecutan el correspondiente desmalezamiento de terrenos, el Estado Municipal debe hacerse cargo para brindar seguridad e higiene a la población;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necesario adecuar la Ordenanza Impositiva y Tarifaria Municipal con el objetivo de ajustarla a la situación sanitaria actual a fin de brindarle mayor higiene, salubridad, y sanidad al vecino, como así también a la ciudad de Alta Gracia por parte del municipio.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Proyecto de Ordenanza elevado por el Departamento Ejecutivo por el Concejo en Comisión, se resuelve por unanimidad emitir despacho aprobando en General el proyecto y en particular con modificaciones, despacho aprobado por unanimidad en Sesión de fecha 11 de julio de 2012.-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MODIFIQUESE </w:t>
      </w:r>
      <w:r>
        <w:rPr>
          <w:rStyle w:val="C3"/>
          <w:rFonts w:ascii="Courier New" w:hAnsi="Courier New"/>
        </w:rPr>
        <w:t>el art. 136 inc. c de la Ordenanza Nº 3873 el que quedará redactado de la siguiente manera: “Por metro al cuadrado que figura en el catastro municipal, o medida superior constatada, la que resulte mayor de los inmuebles objeto del servicio y por metro lineal de vereda”.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AGREGUESE </w:t>
      </w:r>
      <w:r>
        <w:rPr>
          <w:rStyle w:val="C3"/>
          <w:rFonts w:ascii="Courier New" w:hAnsi="Courier New"/>
        </w:rPr>
        <w:t>el art. 136 bis a la Ordenanza Nº 3873 el que quedará redactado de la siguiente manera: “La ordenanza tarifaria fijará el valor de la tasa por metro cuadrado de desinfección, de desratización y de desmaleza, por separado y de la tasa por limpieza y desmalezado de veredas, por metro lineal y con un monto fijo mínimo. Estas tasas podrán ser readecuadas antes de la finalización del año fiscal a fin de cubrir gastos directos e indirectos de la prestación del servicio”.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AGREGUESE</w:t>
      </w:r>
      <w:r>
        <w:rPr>
          <w:rStyle w:val="C3"/>
          <w:rFonts w:ascii="Courier New" w:hAnsi="Courier New"/>
        </w:rPr>
        <w:t xml:space="preserve"> el art 136 ter a la Ordenanza Nº 3873 el que quedará redactado de la siguiente manera: “La solicitud, conjunta al pago de la tasa de servicio de desmalezamiento y/o desinfección y desratización de terrenos baldíos y de limpieza y desmalezado de veredas, sin existir constancia de infracción previa, la tasa tendrá un descuento del veinte por ciento(20%)”.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AGREGUESE </w:t>
      </w:r>
      <w:r>
        <w:rPr>
          <w:rStyle w:val="C3"/>
          <w:rFonts w:ascii="Courier New" w:hAnsi="Courier New"/>
        </w:rPr>
        <w:t>el art. 15 bis a la Ordenanza Nº 9224 el que quedara redactado de la siguiente manera: “Por trabajos de desmalezamientos, por metro cuadrado de inmueble objeto del servicio pesos cuatro……………………… $ 4.-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 xml:space="preserve">: AGRÉGUESE </w:t>
      </w:r>
      <w:r>
        <w:rPr>
          <w:rStyle w:val="C3"/>
          <w:rFonts w:ascii="Courier New" w:hAnsi="Courier New"/>
        </w:rPr>
        <w:t xml:space="preserve">el art. 15 ter a la Ordenanza Nº 9224 el      que quedará redactado de la siguiente manera: “Por trabajos de desmalezamientos y limpiezas de veredas : Monto fijo de Pesos Doscientos………………………………………….$ 200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Más Pesos Cuatro……………………………………………………………………………..$   4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Por metro lineal de limpieza o desmalezado.-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JULIO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53B2B3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153812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5BD59D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677A38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8A0C90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9ACC0E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6C6129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904FEB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524C01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55232A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9F191E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43549A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1843E2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FEEDE8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8A19D4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99C635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EAC32D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4CEC80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184990C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DEA976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189D1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0EE68C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5F3915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7376BB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048139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EF14F4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F791C8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F68813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2012-07-12T11:53:00Z</dcterms:created>
  <cp:lastModifiedBy>Ethan Puglia</cp:lastModifiedBy>
  <cp:lastPrinted>2012-07-05T16:35:00Z</cp:lastPrinted>
  <dcterms:modified xsi:type="dcterms:W3CDTF">2019-03-28T17:33:04Z</dcterms:modified>
  <cp:revision>6</cp:revision>
  <dc:title>PROYECTO DE ORDENANZA VIOLENCIA FAMILIAR</dc:title>
</cp:coreProperties>
</file>