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1490255" Type="http://schemas.openxmlformats.org/officeDocument/2006/relationships/officeDocument" Target="/word/document.xml" /><Relationship Id="coreR6149025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9331 </w:t>
      </w:r>
    </w:p>
    <w:p/>
    <w:p>
      <w:pPr>
        <w:pStyle w:val="P20"/>
        <w:jc w:val="center"/>
        <w:rPr>
          <w:rStyle w:val="C3"/>
          <w:b w:val="1"/>
          <w:sz w:val="24"/>
          <w:u w:val="single"/>
        </w:rPr>
      </w:pPr>
    </w:p>
    <w:p>
      <w:pPr>
        <w:pStyle w:val="P20"/>
        <w:ind w:hanging="709" w:left="709"/>
        <w:jc w:val="both"/>
        <w:rPr>
          <w:rStyle w:val="C3"/>
          <w:sz w:val="24"/>
        </w:rPr>
      </w:pPr>
    </w:p>
    <w:p>
      <w:pPr>
        <w:pStyle w:val="P20"/>
        <w:ind w:hanging="709" w:left="709"/>
        <w:jc w:val="both"/>
        <w:rPr>
          <w:rStyle w:val="C3"/>
          <w:sz w:val="24"/>
        </w:rPr>
      </w:pPr>
      <w:r>
        <w:rPr>
          <w:rStyle w:val="C3"/>
          <w:sz w:val="24"/>
        </w:rPr>
        <w:t>Visto: La preocupación que genera en los vecinos, el uso de agroquímicos en zonas periurbanas de la ciudad de Alta Gracia; y</w:t>
      </w:r>
    </w:p>
    <w:p>
      <w:pPr>
        <w:pStyle w:val="P20"/>
        <w:ind w:hanging="709" w:left="709"/>
        <w:jc w:val="both"/>
        <w:rPr>
          <w:rStyle w:val="C3"/>
          <w:sz w:val="24"/>
        </w:rPr>
      </w:pPr>
    </w:p>
    <w:p>
      <w:pPr>
        <w:pStyle w:val="P20"/>
        <w:ind w:left="2832"/>
        <w:rPr>
          <w:rStyle w:val="C3"/>
          <w:b w:val="1"/>
          <w:sz w:val="24"/>
        </w:rPr>
      </w:pPr>
      <w:r>
        <w:rPr>
          <w:rStyle w:val="C3"/>
          <w:b w:val="1"/>
          <w:sz w:val="24"/>
        </w:rPr>
        <w:t xml:space="preserve"> </w:t>
      </w:r>
    </w:p>
    <w:p>
      <w:pPr>
        <w:pStyle w:val="P20"/>
        <w:ind w:left="2832"/>
        <w:rPr>
          <w:rStyle w:val="C3"/>
          <w:b w:val="1"/>
          <w:sz w:val="24"/>
        </w:rPr>
      </w:pPr>
      <w:r>
        <w:rPr>
          <w:rStyle w:val="C3"/>
          <w:b w:val="1"/>
          <w:sz w:val="24"/>
        </w:rPr>
        <w:t xml:space="preserve">  C O N S I D E R A N D O</w:t>
      </w:r>
    </w:p>
    <w:p>
      <w:pPr>
        <w:pStyle w:val="P20"/>
        <w:ind w:left="2832"/>
        <w:jc w:val="both"/>
        <w:rPr>
          <w:rStyle w:val="C3"/>
          <w:b w:val="1"/>
          <w:sz w:val="24"/>
        </w:rPr>
      </w:pPr>
    </w:p>
    <w:p>
      <w:pPr>
        <w:pStyle w:val="P20"/>
        <w:ind w:left="2832"/>
        <w:jc w:val="both"/>
        <w:rPr>
          <w:rStyle w:val="C3"/>
          <w:b w:val="1"/>
          <w:sz w:val="24"/>
        </w:rPr>
      </w:pPr>
    </w:p>
    <w:p>
      <w:pPr>
        <w:pStyle w:val="P13"/>
        <w:ind w:hanging="709"/>
      </w:pPr>
      <w:r>
        <w:t xml:space="preserve">     Que el Departamento Ejecutivo, viene trabajando sobre el tema y ha elevado un proyecto de Ordenanza sobre la utilización de agroquímicos en la ciudad;</w:t>
      </w:r>
    </w:p>
    <w:p>
      <w:pPr>
        <w:pStyle w:val="P13"/>
        <w:ind w:hanging="709"/>
      </w:pPr>
    </w:p>
    <w:p>
      <w:pPr>
        <w:pStyle w:val="P13"/>
        <w:ind w:hanging="1"/>
      </w:pPr>
      <w:r>
        <w:t xml:space="preserve">Que en este momento el Estado Municipal cuenta con la Ordenanza Nº 8021 que regula el uso de agroquímicos, siendo al momento de su sanción, pionera en este tema; </w:t>
      </w:r>
    </w:p>
    <w:p>
      <w:pPr>
        <w:pStyle w:val="P13"/>
        <w:ind w:hanging="1"/>
      </w:pPr>
    </w:p>
    <w:p>
      <w:pPr>
        <w:pStyle w:val="P13"/>
        <w:ind w:hanging="1"/>
      </w:pPr>
      <w:r>
        <w:t>Que en su momento se tuvo en cuenta, y es el espíritu de la Ordenanza N</w:t>
      </w:r>
      <w:r>
        <w:rPr>
          <w:rStyle w:val="C3"/>
          <w:rFonts w:ascii="MingLiU-ExtB" w:hAnsi="MingLiU-ExtB"/>
        </w:rPr>
        <w:t>º</w:t>
      </w:r>
      <w:r>
        <w:t xml:space="preserve"> 8021, ejercer el  control en la aplicación de los agroquímicos;</w:t>
      </w:r>
    </w:p>
    <w:p>
      <w:pPr>
        <w:pStyle w:val="P13"/>
        <w:ind w:hanging="1"/>
      </w:pPr>
    </w:p>
    <w:p>
      <w:pPr>
        <w:pStyle w:val="P13"/>
        <w:ind w:hanging="1"/>
      </w:pPr>
      <w:r>
        <w:t xml:space="preserve">Que con el transcurso del tiempo  y el avance de la ciencia, se hace necesario readecuar la legislación, principalmente cuando se trata de velar por la salud de la población; </w:t>
      </w:r>
    </w:p>
    <w:p>
      <w:pPr>
        <w:pStyle w:val="P13"/>
        <w:ind w:hanging="1"/>
      </w:pPr>
    </w:p>
    <w:p>
      <w:pPr>
        <w:pStyle w:val="P13"/>
        <w:ind w:hanging="1"/>
      </w:pPr>
      <w:r>
        <w:t>Que una legislación de este tipo, requiere de tiempo de estudio, análisis, debates e información por parte de los concejales;</w:t>
      </w:r>
    </w:p>
    <w:p>
      <w:pPr>
        <w:pStyle w:val="P13"/>
        <w:ind w:hanging="1"/>
      </w:pPr>
    </w:p>
    <w:p>
      <w:pPr>
        <w:pStyle w:val="P13"/>
        <w:ind w:hanging="1"/>
      </w:pPr>
      <w:r>
        <w:t xml:space="preserve">Que teniendo en cuenta las consecuencias que pudieren traer a la población la continuidad del uso de agroquímicos en la forma hoy establecida y  el principio precautorio vigente para toda cuestión ambiental y de salubridad, se hace necesario dotar al Departamento Ejecutivo de una herramienta que le permita cumplir acabadamente con el principio antes mencionado, hasta tanto se sancione la norma definitiva.</w:t>
      </w:r>
    </w:p>
    <w:p>
      <w:pPr>
        <w:pStyle w:val="P13"/>
        <w:ind w:hanging="1"/>
        <w:jc w:val="right"/>
      </w:pPr>
      <w:r>
        <w:t>...///</w:t>
      </w:r>
    </w:p>
    <w:p>
      <w:pPr>
        <w:pStyle w:val="P13"/>
        <w:ind w:hanging="1"/>
      </w:pPr>
    </w:p>
    <w:p>
      <w:pPr>
        <w:pStyle w:val="P13"/>
        <w:ind w:hanging="1"/>
      </w:pPr>
    </w:p>
    <w:p>
      <w:pPr>
        <w:pStyle w:val="P20"/>
        <w:jc w:val="both"/>
        <w:rPr>
          <w:rStyle w:val="C3"/>
          <w:sz w:val="24"/>
        </w:rPr>
      </w:pPr>
    </w:p>
    <w:p>
      <w:pPr>
        <w:pStyle w:val="P20"/>
        <w:jc w:val="both"/>
        <w:rPr>
          <w:rStyle w:val="C3"/>
          <w:sz w:val="24"/>
        </w:rPr>
      </w:pPr>
    </w:p>
    <w:p>
      <w:pPr>
        <w:pStyle w:val="P20"/>
        <w:ind w:hanging="708" w:left="708"/>
        <w:rPr>
          <w:rStyle w:val="C3"/>
          <w:sz w:val="24"/>
        </w:rPr>
      </w:pPr>
      <w:r>
        <w:rPr>
          <w:rStyle w:val="C3"/>
          <w:sz w:val="24"/>
        </w:rPr>
        <w:t>...///2.-</w:t>
      </w:r>
    </w:p>
    <w:p>
      <w:pPr>
        <w:pStyle w:val="P20"/>
        <w:ind w:firstLine="708" w:left="708"/>
        <w:rPr>
          <w:rStyle w:val="C3"/>
          <w:b w:val="1"/>
          <w:sz w:val="24"/>
        </w:rPr>
      </w:pPr>
    </w:p>
    <w:p>
      <w:pPr>
        <w:pStyle w:val="P20"/>
        <w:ind w:firstLine="708" w:left="708"/>
        <w:rPr>
          <w:rStyle w:val="C3"/>
          <w:b w:val="1"/>
          <w:sz w:val="24"/>
        </w:rPr>
      </w:pPr>
      <w:r>
        <w:rPr>
          <w:rStyle w:val="C3"/>
          <w:b w:val="1"/>
          <w:sz w:val="24"/>
        </w:rPr>
        <w:t>EL HONORABLE CONCEJO DELIBERANTE DE LA CIUDAD DE</w:t>
      </w:r>
    </w:p>
    <w:p>
      <w:pPr>
        <w:pStyle w:val="P20"/>
        <w:ind w:left="709"/>
        <w:jc w:val="center"/>
        <w:rPr>
          <w:rStyle w:val="C3"/>
          <w:b w:val="1"/>
          <w:sz w:val="24"/>
        </w:rPr>
      </w:pPr>
    </w:p>
    <w:p>
      <w:pPr>
        <w:pStyle w:val="P20"/>
        <w:ind w:left="709"/>
        <w:jc w:val="center"/>
        <w:rPr>
          <w:rStyle w:val="C3"/>
          <w:b w:val="1"/>
          <w:sz w:val="24"/>
        </w:rPr>
      </w:pPr>
    </w:p>
    <w:p>
      <w:pPr>
        <w:pStyle w:val="P20"/>
        <w:ind w:left="1416"/>
        <w:rPr>
          <w:rStyle w:val="C3"/>
          <w:b w:val="1"/>
          <w:sz w:val="24"/>
        </w:rPr>
      </w:pPr>
      <w:r>
        <w:rPr>
          <w:rStyle w:val="C3"/>
          <w:b w:val="1"/>
          <w:sz w:val="24"/>
        </w:rPr>
        <w:t xml:space="preserve">  ALTA GRACIA SANCIONA CON FUERZA DE ORDENANZA</w:t>
      </w:r>
    </w:p>
    <w:p>
      <w:pPr>
        <w:pStyle w:val="P20"/>
        <w:jc w:val="right"/>
        <w:rPr>
          <w:rStyle w:val="C3"/>
          <w:sz w:val="24"/>
        </w:rPr>
      </w:pPr>
    </w:p>
    <w:p>
      <w:pPr>
        <w:pStyle w:val="P20"/>
        <w:jc w:val="right"/>
        <w:rPr>
          <w:rStyle w:val="C3"/>
          <w:sz w:val="24"/>
        </w:rPr>
      </w:pPr>
    </w:p>
    <w:p>
      <w:pPr>
        <w:pStyle w:val="P20"/>
        <w:jc w:val="both"/>
        <w:rPr>
          <w:rStyle w:val="C3"/>
          <w:b w:val="1"/>
          <w:sz w:val="24"/>
          <w:u w:val="single"/>
        </w:rPr>
      </w:pPr>
    </w:p>
    <w:p>
      <w:pPr>
        <w:pStyle w:val="P20"/>
        <w:ind w:hanging="709" w:left="709"/>
        <w:jc w:val="both"/>
        <w:rPr>
          <w:rStyle w:val="C3"/>
          <w:sz w:val="24"/>
        </w:rPr>
      </w:pPr>
      <w:r>
        <w:rPr>
          <w:rStyle w:val="C3"/>
          <w:b w:val="1"/>
          <w:sz w:val="24"/>
          <w:u w:val="single"/>
        </w:rPr>
        <w:t>Art.1</w:t>
      </w:r>
      <w:r>
        <w:rPr>
          <w:rStyle w:val="C3"/>
          <w:b w:val="1"/>
          <w:sz w:val="24"/>
        </w:rPr>
        <w:t>:</w:t>
      </w:r>
      <w:r>
        <w:rPr>
          <w:rStyle w:val="C3"/>
          <w:sz w:val="24"/>
        </w:rPr>
        <w:t xml:space="preserve"> </w:t>
      </w:r>
      <w:r>
        <w:rPr>
          <w:rStyle w:val="C3"/>
          <w:b w:val="1"/>
          <w:sz w:val="24"/>
        </w:rPr>
        <w:t xml:space="preserve">AUTORÍZASE </w:t>
      </w:r>
      <w:r>
        <w:rPr>
          <w:rStyle w:val="C3"/>
          <w:sz w:val="24"/>
        </w:rPr>
        <w:t xml:space="preserve">por el término de treinta (30) días a contar de la promulgación de la presente, al Departamento Ejecutivo a suspender, en los casos que lo crea necesario para velar por la salubridad de la población, la utilización de agroquímicos en zonas periurbanas de la ciudad de Alta Gracia, pudiendo este plazo ser prorrogado por disposición del Honorable Concejo Deliberante  por otro término igual.</w:t>
      </w:r>
    </w:p>
    <w:p>
      <w:pPr>
        <w:pStyle w:val="P20"/>
        <w:jc w:val="both"/>
        <w:rPr>
          <w:rStyle w:val="C3"/>
          <w:b w:val="1"/>
          <w:sz w:val="24"/>
          <w:u w:val="single"/>
        </w:rPr>
      </w:pPr>
    </w:p>
    <w:p>
      <w:pPr>
        <w:pStyle w:val="P20"/>
        <w:ind w:hanging="709" w:left="709"/>
        <w:jc w:val="both"/>
        <w:rPr>
          <w:rStyle w:val="C3"/>
          <w:sz w:val="24"/>
        </w:rPr>
      </w:pPr>
      <w:r>
        <w:rPr>
          <w:rStyle w:val="C3"/>
          <w:b w:val="1"/>
          <w:sz w:val="24"/>
          <w:u w:val="single"/>
        </w:rPr>
        <w:t>Art.2</w:t>
      </w:r>
      <w:r>
        <w:rPr>
          <w:rStyle w:val="C3"/>
          <w:b w:val="1"/>
          <w:sz w:val="24"/>
        </w:rPr>
        <w:t>:</w:t>
      </w:r>
      <w:r>
        <w:rPr>
          <w:rStyle w:val="C3"/>
          <w:sz w:val="24"/>
        </w:rPr>
        <w:t xml:space="preserve"> </w:t>
      </w:r>
      <w:r>
        <w:rPr>
          <w:rStyle w:val="C3"/>
          <w:b w:val="1"/>
          <w:sz w:val="24"/>
        </w:rPr>
        <w:t xml:space="preserve">PARA </w:t>
      </w:r>
      <w:r>
        <w:rPr>
          <w:rStyle w:val="C3"/>
          <w:sz w:val="24"/>
        </w:rPr>
        <w:t>los casos que se autorice la utilización de agroquímicos, mantiene plena vigencia la Ordenanza Nº 8021.</w:t>
      </w:r>
    </w:p>
    <w:p>
      <w:pPr>
        <w:pStyle w:val="P20"/>
        <w:jc w:val="right"/>
        <w:rPr>
          <w:rStyle w:val="C3"/>
          <w:sz w:val="24"/>
        </w:rPr>
      </w:pPr>
      <w:r>
        <w:rPr>
          <w:rStyle w:val="C3"/>
          <w:sz w:val="24"/>
        </w:rPr>
        <w:t>.</w:t>
      </w:r>
    </w:p>
    <w:p>
      <w:pPr>
        <w:pStyle w:val="P20"/>
        <w:ind w:hanging="709" w:left="709"/>
        <w:jc w:val="both"/>
        <w:rPr>
          <w:rStyle w:val="C3"/>
          <w:sz w:val="24"/>
        </w:rPr>
      </w:pPr>
      <w:r>
        <w:rPr>
          <w:rStyle w:val="C3"/>
          <w:b w:val="1"/>
          <w:sz w:val="24"/>
          <w:u w:val="single"/>
        </w:rPr>
        <w:t>Art.3</w:t>
      </w:r>
      <w:r>
        <w:rPr>
          <w:rStyle w:val="C3"/>
          <w:b w:val="1"/>
          <w:sz w:val="24"/>
        </w:rPr>
        <w:t>: COMUNÍQUESE</w:t>
      </w:r>
      <w:r>
        <w:rPr>
          <w:rStyle w:val="C3"/>
          <w:sz w:val="24"/>
        </w:rPr>
        <w:t>, publíquese, transcríbase al libro de Ordenanzas y archívese.</w:t>
      </w:r>
    </w:p>
    <w:p>
      <w:pPr>
        <w:pStyle w:val="P20"/>
        <w:jc w:val="both"/>
        <w:rPr>
          <w:rStyle w:val="C3"/>
          <w:sz w:val="24"/>
        </w:rPr>
      </w:pPr>
    </w:p>
    <w:p>
      <w:pPr>
        <w:pStyle w:val="P20"/>
        <w:jc w:val="both"/>
        <w:rPr>
          <w:rStyle w:val="C3"/>
          <w:sz w:val="24"/>
        </w:rPr>
      </w:pPr>
    </w:p>
    <w:p>
      <w:pPr>
        <w:pStyle w:val="P20"/>
        <w:jc w:val="both"/>
        <w:rPr>
          <w:rStyle w:val="C3"/>
          <w:b w:val="1"/>
          <w:sz w:val="24"/>
        </w:rPr>
      </w:pPr>
      <w:r>
        <w:rPr>
          <w:rStyle w:val="C3"/>
          <w:b w:val="1"/>
          <w:sz w:val="24"/>
        </w:rPr>
        <w:t>DADA EN LA SALA DE SESIONES DEL HONORABLE CONCEJO DELIBERANTE A DIECIOCHO DÍAS DEL MES DE JULIO DE DOS MIL DOCE.-</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F8ADC37">
      <w:start w:val="0"/>
      <w:numFmt w:val="bullet"/>
      <w:suff w:val="tab"/>
      <w:lvlText w:val=""/>
      <w:lvlJc w:val="left"/>
      <w:pPr>
        <w:ind w:hanging="360" w:left="927"/>
      </w:pPr>
      <w:rPr>
        <w:rFonts w:ascii="Symbol" w:hAnsi="Symbol"/>
      </w:rPr>
    </w:lvl>
    <w:lvl w:ilvl="1" w:tplc="432065E1">
      <w:start w:val="1"/>
      <w:numFmt w:val="bullet"/>
      <w:suff w:val="tab"/>
      <w:lvlText w:val="o"/>
      <w:lvlJc w:val="left"/>
      <w:pPr>
        <w:ind w:hanging="360" w:left="1647"/>
      </w:pPr>
      <w:rPr>
        <w:rFonts w:ascii="Courier New" w:hAnsi="Courier New"/>
      </w:rPr>
    </w:lvl>
    <w:lvl w:ilvl="2" w:tplc="5F556217">
      <w:start w:val="1"/>
      <w:numFmt w:val="bullet"/>
      <w:suff w:val="tab"/>
      <w:lvlText w:val=""/>
      <w:lvlJc w:val="left"/>
      <w:pPr>
        <w:ind w:hanging="360" w:left="2367"/>
      </w:pPr>
      <w:rPr>
        <w:rFonts w:ascii="Wingdings" w:hAnsi="Wingdings"/>
      </w:rPr>
    </w:lvl>
    <w:lvl w:ilvl="3" w:tplc="5BBB98C6">
      <w:start w:val="1"/>
      <w:numFmt w:val="bullet"/>
      <w:suff w:val="tab"/>
      <w:lvlText w:val=""/>
      <w:lvlJc w:val="left"/>
      <w:pPr>
        <w:ind w:hanging="360" w:left="3087"/>
      </w:pPr>
      <w:rPr>
        <w:rFonts w:ascii="Symbol" w:hAnsi="Symbol"/>
      </w:rPr>
    </w:lvl>
    <w:lvl w:ilvl="4" w:tplc="23D6E2F2">
      <w:start w:val="1"/>
      <w:numFmt w:val="bullet"/>
      <w:suff w:val="tab"/>
      <w:lvlText w:val="o"/>
      <w:lvlJc w:val="left"/>
      <w:pPr>
        <w:ind w:hanging="360" w:left="3807"/>
      </w:pPr>
      <w:rPr>
        <w:rFonts w:ascii="Courier New" w:hAnsi="Courier New"/>
      </w:rPr>
    </w:lvl>
    <w:lvl w:ilvl="5" w:tplc="11ADF68E">
      <w:start w:val="1"/>
      <w:numFmt w:val="bullet"/>
      <w:suff w:val="tab"/>
      <w:lvlText w:val=""/>
      <w:lvlJc w:val="left"/>
      <w:pPr>
        <w:ind w:hanging="360" w:left="4527"/>
      </w:pPr>
      <w:rPr>
        <w:rFonts w:ascii="Wingdings" w:hAnsi="Wingdings"/>
      </w:rPr>
    </w:lvl>
    <w:lvl w:ilvl="6" w:tplc="6AF8308A">
      <w:start w:val="1"/>
      <w:numFmt w:val="bullet"/>
      <w:suff w:val="tab"/>
      <w:lvlText w:val=""/>
      <w:lvlJc w:val="left"/>
      <w:pPr>
        <w:ind w:hanging="360" w:left="5247"/>
      </w:pPr>
      <w:rPr>
        <w:rFonts w:ascii="Symbol" w:hAnsi="Symbol"/>
      </w:rPr>
    </w:lvl>
    <w:lvl w:ilvl="7" w:tplc="01342211">
      <w:start w:val="1"/>
      <w:numFmt w:val="bullet"/>
      <w:suff w:val="tab"/>
      <w:lvlText w:val="o"/>
      <w:lvlJc w:val="left"/>
      <w:pPr>
        <w:ind w:hanging="360" w:left="5967"/>
      </w:pPr>
      <w:rPr>
        <w:rFonts w:ascii="Courier New" w:hAnsi="Courier New"/>
      </w:rPr>
    </w:lvl>
    <w:lvl w:ilvl="8" w:tplc="34526A47">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5C81310B">
      <w:start w:val="0"/>
      <w:numFmt w:val="bullet"/>
      <w:suff w:val="tab"/>
      <w:lvlText w:val="-"/>
      <w:lvlJc w:val="left"/>
      <w:pPr>
        <w:ind w:hanging="360" w:left="720"/>
        <w:tabs>
          <w:tab w:val="left" w:pos="720" w:leader="none"/>
        </w:tabs>
      </w:pPr>
      <w:rPr>
        <w:rFonts w:ascii="Times New Roman" w:hAnsi="Times New Roman"/>
      </w:rPr>
    </w:lvl>
    <w:lvl w:ilvl="1" w:tplc="560B9ABE">
      <w:start w:val="1"/>
      <w:numFmt w:val="bullet"/>
      <w:suff w:val="tab"/>
      <w:lvlText w:val="o"/>
      <w:lvlJc w:val="left"/>
      <w:pPr>
        <w:ind w:hanging="360" w:left="1440"/>
        <w:tabs>
          <w:tab w:val="left" w:pos="1440" w:leader="none"/>
        </w:tabs>
      </w:pPr>
      <w:rPr>
        <w:rFonts w:ascii="Courier New" w:hAnsi="Courier New"/>
      </w:rPr>
    </w:lvl>
    <w:lvl w:ilvl="2" w:tplc="0874E0A7">
      <w:start w:val="1"/>
      <w:numFmt w:val="bullet"/>
      <w:suff w:val="tab"/>
      <w:lvlText w:val=""/>
      <w:lvlJc w:val="left"/>
      <w:pPr>
        <w:ind w:hanging="360" w:left="2160"/>
        <w:tabs>
          <w:tab w:val="left" w:pos="2160" w:leader="none"/>
        </w:tabs>
      </w:pPr>
      <w:rPr>
        <w:rFonts w:ascii="Wingdings" w:hAnsi="Wingdings"/>
      </w:rPr>
    </w:lvl>
    <w:lvl w:ilvl="3" w:tplc="4D11E793">
      <w:start w:val="1"/>
      <w:numFmt w:val="bullet"/>
      <w:suff w:val="tab"/>
      <w:lvlText w:val=""/>
      <w:lvlJc w:val="left"/>
      <w:pPr>
        <w:ind w:hanging="360" w:left="2880"/>
        <w:tabs>
          <w:tab w:val="left" w:pos="2880" w:leader="none"/>
        </w:tabs>
      </w:pPr>
      <w:rPr>
        <w:rFonts w:ascii="Symbol" w:hAnsi="Symbol"/>
      </w:rPr>
    </w:lvl>
    <w:lvl w:ilvl="4" w:tplc="5E3604D4">
      <w:start w:val="1"/>
      <w:numFmt w:val="bullet"/>
      <w:suff w:val="tab"/>
      <w:lvlText w:val="o"/>
      <w:lvlJc w:val="left"/>
      <w:pPr>
        <w:ind w:hanging="360" w:left="3600"/>
        <w:tabs>
          <w:tab w:val="left" w:pos="3600" w:leader="none"/>
        </w:tabs>
      </w:pPr>
      <w:rPr>
        <w:rFonts w:ascii="Courier New" w:hAnsi="Courier New"/>
      </w:rPr>
    </w:lvl>
    <w:lvl w:ilvl="5" w:tplc="4B4DA6F5">
      <w:start w:val="1"/>
      <w:numFmt w:val="bullet"/>
      <w:suff w:val="tab"/>
      <w:lvlText w:val=""/>
      <w:lvlJc w:val="left"/>
      <w:pPr>
        <w:ind w:hanging="360" w:left="4320"/>
        <w:tabs>
          <w:tab w:val="left" w:pos="4320" w:leader="none"/>
        </w:tabs>
      </w:pPr>
      <w:rPr>
        <w:rFonts w:ascii="Wingdings" w:hAnsi="Wingdings"/>
      </w:rPr>
    </w:lvl>
    <w:lvl w:ilvl="6" w:tplc="393FD9C0">
      <w:start w:val="1"/>
      <w:numFmt w:val="bullet"/>
      <w:suff w:val="tab"/>
      <w:lvlText w:val=""/>
      <w:lvlJc w:val="left"/>
      <w:pPr>
        <w:ind w:hanging="360" w:left="5040"/>
        <w:tabs>
          <w:tab w:val="left" w:pos="5040" w:leader="none"/>
        </w:tabs>
      </w:pPr>
      <w:rPr>
        <w:rFonts w:ascii="Symbol" w:hAnsi="Symbol"/>
      </w:rPr>
    </w:lvl>
    <w:lvl w:ilvl="7" w:tplc="32DF52AE">
      <w:start w:val="1"/>
      <w:numFmt w:val="bullet"/>
      <w:suff w:val="tab"/>
      <w:lvlText w:val="o"/>
      <w:lvlJc w:val="left"/>
      <w:pPr>
        <w:ind w:hanging="360" w:left="5760"/>
        <w:tabs>
          <w:tab w:val="left" w:pos="5760" w:leader="none"/>
        </w:tabs>
      </w:pPr>
      <w:rPr>
        <w:rFonts w:ascii="Courier New" w:hAnsi="Courier New"/>
      </w:rPr>
    </w:lvl>
    <w:lvl w:ilvl="8" w:tplc="64993D8B">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2496481">
      <w:start w:val="1"/>
      <w:numFmt w:val="bullet"/>
      <w:suff w:val="tab"/>
      <w:lvlText w:val=""/>
      <w:lvlJc w:val="left"/>
      <w:pPr>
        <w:ind w:hanging="360" w:left="720"/>
        <w:tabs>
          <w:tab w:val="left" w:pos="720" w:leader="none"/>
        </w:tabs>
      </w:pPr>
      <w:rPr>
        <w:rFonts w:ascii="Symbol" w:hAnsi="Symbol"/>
      </w:rPr>
    </w:lvl>
    <w:lvl w:ilvl="1" w:tplc="06F07D29">
      <w:start w:val="1"/>
      <w:numFmt w:val="bullet"/>
      <w:suff w:val="tab"/>
      <w:lvlText w:val="o"/>
      <w:lvlJc w:val="left"/>
      <w:pPr>
        <w:ind w:hanging="360" w:left="1440"/>
        <w:tabs>
          <w:tab w:val="left" w:pos="1440" w:leader="none"/>
        </w:tabs>
      </w:pPr>
      <w:rPr>
        <w:rFonts w:ascii="Courier New" w:hAnsi="Courier New"/>
      </w:rPr>
    </w:lvl>
    <w:lvl w:ilvl="2" w:tplc="4E5D13ED">
      <w:start w:val="1"/>
      <w:numFmt w:val="bullet"/>
      <w:suff w:val="tab"/>
      <w:lvlText w:val=""/>
      <w:lvlJc w:val="left"/>
      <w:pPr>
        <w:ind w:hanging="360" w:left="2160"/>
        <w:tabs>
          <w:tab w:val="left" w:pos="2160" w:leader="none"/>
        </w:tabs>
      </w:pPr>
      <w:rPr>
        <w:rFonts w:ascii="Wingdings" w:hAnsi="Wingdings"/>
      </w:rPr>
    </w:lvl>
    <w:lvl w:ilvl="3" w:tplc="736D7800">
      <w:start w:val="1"/>
      <w:numFmt w:val="bullet"/>
      <w:suff w:val="tab"/>
      <w:lvlText w:val=""/>
      <w:lvlJc w:val="left"/>
      <w:pPr>
        <w:ind w:hanging="360" w:left="2880"/>
        <w:tabs>
          <w:tab w:val="left" w:pos="2880" w:leader="none"/>
        </w:tabs>
      </w:pPr>
      <w:rPr>
        <w:rFonts w:ascii="Symbol" w:hAnsi="Symbol"/>
      </w:rPr>
    </w:lvl>
    <w:lvl w:ilvl="4" w:tplc="160BD7C5">
      <w:start w:val="1"/>
      <w:numFmt w:val="bullet"/>
      <w:suff w:val="tab"/>
      <w:lvlText w:val="o"/>
      <w:lvlJc w:val="left"/>
      <w:pPr>
        <w:ind w:hanging="360" w:left="3600"/>
        <w:tabs>
          <w:tab w:val="left" w:pos="3600" w:leader="none"/>
        </w:tabs>
      </w:pPr>
      <w:rPr>
        <w:rFonts w:ascii="Courier New" w:hAnsi="Courier New"/>
      </w:rPr>
    </w:lvl>
    <w:lvl w:ilvl="5" w:tplc="79EEE744">
      <w:start w:val="1"/>
      <w:numFmt w:val="bullet"/>
      <w:suff w:val="tab"/>
      <w:lvlText w:val=""/>
      <w:lvlJc w:val="left"/>
      <w:pPr>
        <w:ind w:hanging="360" w:left="4320"/>
        <w:tabs>
          <w:tab w:val="left" w:pos="4320" w:leader="none"/>
        </w:tabs>
      </w:pPr>
      <w:rPr>
        <w:rFonts w:ascii="Wingdings" w:hAnsi="Wingdings"/>
      </w:rPr>
    </w:lvl>
    <w:lvl w:ilvl="6" w:tplc="21982000">
      <w:start w:val="1"/>
      <w:numFmt w:val="bullet"/>
      <w:suff w:val="tab"/>
      <w:lvlText w:val=""/>
      <w:lvlJc w:val="left"/>
      <w:pPr>
        <w:ind w:hanging="360" w:left="5040"/>
        <w:tabs>
          <w:tab w:val="left" w:pos="5040" w:leader="none"/>
        </w:tabs>
      </w:pPr>
      <w:rPr>
        <w:rFonts w:ascii="Symbol" w:hAnsi="Symbol"/>
      </w:rPr>
    </w:lvl>
    <w:lvl w:ilvl="7" w:tplc="66354EEA">
      <w:start w:val="1"/>
      <w:numFmt w:val="bullet"/>
      <w:suff w:val="tab"/>
      <w:lvlText w:val="o"/>
      <w:lvlJc w:val="left"/>
      <w:pPr>
        <w:ind w:hanging="360" w:left="5760"/>
        <w:tabs>
          <w:tab w:val="left" w:pos="5760" w:leader="none"/>
        </w:tabs>
      </w:pPr>
      <w:rPr>
        <w:rFonts w:ascii="Courier New" w:hAnsi="Courier New"/>
      </w:rPr>
    </w:lvl>
    <w:lvl w:ilvl="8" w:tplc="5CD346EA">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44CC36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2012-07-18T16:56:00Z</dcterms:created>
  <cp:lastModifiedBy>Ethan Puglia</cp:lastModifiedBy>
  <cp:lastPrinted>2012-07-19T16:00:00Z</cp:lastPrinted>
  <dcterms:modified xsi:type="dcterms:W3CDTF">2019-03-28T17:33:04Z</dcterms:modified>
  <cp:revision>6</cp:revision>
  <dc:title>PROYECTO DE ORDENANZA VIOLENCIA FAMILIAR</dc:title>
</cp:coreProperties>
</file>