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93C02B" Type="http://schemas.openxmlformats.org/officeDocument/2006/relationships/officeDocument" Target="/word/document.xml" /><Relationship Id="coreR2893C0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9337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414/12 iniciado por Ceballos Ivana Paola;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del inmueble designación catastral 3106010301381011, Cuenta Nº 10156;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presenta Cesión de Boleto de Compraventa a su favor y del titular contribuyente;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socio-económico correspondiente elaborado por la Secretaria de Desarrollo Social de la Municipalidad de Alta Gracia se desprende que se trata de un hogar monoparental en el cual, de acuerdo a sus ingresos, no puede hacer frente a sus necesidades básicas;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15 de Agosto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( 100%) de la deuda y las cuotas correspondientes al año 2012 de Tasa por Servicios a la Propiedad, sobre el inmueble designación catastral 3106010301381011, Cuenta Nº 10156.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QUINCE DÍAS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A3AC0D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8600AE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844F4E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EA00F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7FF6B7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727F9F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9EA80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D0E64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F54930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C96373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F6232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75F230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5981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ACB47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96D93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7E041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7783E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AE8F4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5564DB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EA600F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07744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8C4AEB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2FFB0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38447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C9F9B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548D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53B89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A7F14A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2012-08-15T16:22:00Z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