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DFA11B" Type="http://schemas.openxmlformats.org/officeDocument/2006/relationships/officeDocument" Target="/word/document.xml" /><Relationship Id="coreR14DFA11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9343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La Ley Nº 9835 “Fondo para la Descentralización del Mantenimiento de Edificios Escolares Provinciales (FODEMEEP)”, y el Convenio de Adhesión entre la Provincia de Córdoba y la Municipalidad de Alta Gracia de fecha 19 de Mayo de 2012, y;   </w:t>
      </w:r>
    </w:p>
    <w:p>
      <w:pPr>
        <w:tabs>
          <w:tab w:val="left" w:pos="5255" w:leader="none"/>
        </w:tabs>
        <w:jc w:val="both"/>
        <w:rPr>
          <w:rStyle w:val="C3"/>
          <w:rFonts w:ascii="Courier New" w:hAnsi="Courier New"/>
        </w:rPr>
      </w:pPr>
    </w:p>
    <w:p>
      <w:pPr>
        <w:pStyle w:val="P2"/>
      </w:pPr>
      <w:r>
        <w:t>C O N S I D E R A N D O</w:t>
      </w:r>
    </w:p>
    <w:p/>
    <w:p>
      <w:pPr>
        <w:tabs>
          <w:tab w:val="left" w:pos="2824" w:leader="none"/>
        </w:tabs>
        <w:ind w:hanging="426" w:left="426"/>
        <w:jc w:val="both"/>
        <w:rPr>
          <w:rStyle w:val="C3"/>
          <w:rFonts w:ascii="Courier New" w:hAnsi="Courier New"/>
        </w:rPr>
      </w:pPr>
      <w:r>
        <w:t xml:space="preserve">     </w:t>
      </w:r>
      <w:r>
        <w:rPr>
          <w:rStyle w:val="C3"/>
          <w:rFonts w:ascii="Courier New" w:hAnsi="Courier New"/>
        </w:rPr>
        <w:t xml:space="preserve"> Que el mantenimiento preventivo y las reparaciones menores de los edificios escolares son de tal urgencia que no pueden aguardar el trámite administrativo ordinario, establecido en la Ordenanza Nº 9233 General de Contabilidad y Contrataciones;</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la naturaleza del gasto se corresponde con las modalidades establecidas en el Articulo 12 de la Ordenanza Nº 9223 General de Presupuesto en el tratamiento de pagos por fondo fijo;</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se hace necesario modificar este articulo, en cuanto a la limitación referida a la suma total correspondiente a los fondos fijos que se creen, cuando se recepten fondos provenientes de otras jurisdicciones que no hayan sido previstos al momento de sancionarse la ordenanza de presupuesto;</w:t>
      </w:r>
    </w:p>
    <w:p>
      <w:pPr>
        <w:tabs>
          <w:tab w:val="left" w:pos="2824" w:leader="none"/>
        </w:tabs>
        <w:ind w:hanging="426"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analizado el Proyecto por la Comisión de Hacienda la misma emite distintos despachos, quedando aprobado por mayoría en sesión de fecha 22 de agosto de 2012, el despacho que aprueba el proyecto.</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MODIFIQUESE </w:t>
      </w:r>
      <w:r>
        <w:rPr>
          <w:rStyle w:val="C3"/>
          <w:rFonts w:ascii="Courier New" w:hAnsi="Courier New"/>
        </w:rPr>
        <w:t>el Art. 12º de la Ordenanza Nº 9223 General de Presupuesto el que quedara redactado de la siguiente manera:---------------------------------------</w:t>
      </w:r>
    </w:p>
    <w:p>
      <w:pPr>
        <w:spacing w:beforeAutospacing="1" w:afterAutospacing="1"/>
        <w:ind w:hanging="426" w:left="426"/>
        <w:jc w:val="both"/>
        <w:rPr>
          <w:rStyle w:val="C3"/>
          <w:rFonts w:ascii="Courier New" w:hAnsi="Courier New"/>
        </w:rPr>
      </w:pPr>
      <w:r>
        <w:rPr>
          <w:rStyle w:val="C3"/>
          <w:rFonts w:ascii="Courier New" w:hAnsi="Courier New"/>
        </w:rPr>
        <w:t xml:space="preserve">   “El Departamento Ejecutivo podrá autorizar la creación de Fondos Fijos o Cajas Chicas, de conformidad al régimen establecido por la Ordenanza Nº 2780 art. 6º y sus modificatorias para su utilización en la atención de pagos cuya característica, modalidad o urgencia no permite aguardar la respectiva visación previa del compromiso de gastos, o para los gastos de menor cuantía que deban abonarse al contado para solucionar problemas momentáneos del servicio o adquirir elementos de escaso valor cuya necesidad se presenta imprevistamente. El monto total correspondiente a los Fondo Fijos que se creen, no podrá superar en conjunto la suma de PESOS TREINTA MIL ($30.000,00-).</w:t>
      </w:r>
    </w:p>
    <w:p>
      <w:pPr>
        <w:spacing w:beforeAutospacing="1" w:afterAutospacing="1"/>
        <w:ind w:hanging="426" w:left="426"/>
        <w:jc w:val="both"/>
        <w:rPr>
          <w:rStyle w:val="C3"/>
          <w:rFonts w:ascii="Courier New" w:hAnsi="Courier New"/>
        </w:rPr>
      </w:pPr>
      <w:r>
        <w:rPr>
          <w:rStyle w:val="C3"/>
          <w:rFonts w:ascii="Courier New" w:hAnsi="Courier New"/>
        </w:rPr>
        <w:t xml:space="preserve">   En caso de erogaciones financiadas con fondos provenientes del FODEMEEP (Fondo para la Descentralización del Mantenimiento de Edificios Escolares Provinciales), no correrán las limitaciones establecidas en el párrafo anterior.</w:t>
      </w:r>
    </w:p>
    <w:p>
      <w:pPr>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VEINTIDOS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3E6844F">
      <w:start w:val="0"/>
      <w:numFmt w:val="bullet"/>
      <w:suff w:val="tab"/>
      <w:lvlText w:val=""/>
      <w:lvlJc w:val="left"/>
      <w:pPr>
        <w:ind w:hanging="360" w:left="927"/>
      </w:pPr>
      <w:rPr>
        <w:rFonts w:ascii="Symbol" w:hAnsi="Symbol"/>
      </w:rPr>
    </w:lvl>
    <w:lvl w:ilvl="1" w:tplc="605E314B">
      <w:start w:val="1"/>
      <w:numFmt w:val="bullet"/>
      <w:suff w:val="tab"/>
      <w:lvlText w:val="o"/>
      <w:lvlJc w:val="left"/>
      <w:pPr>
        <w:ind w:hanging="360" w:left="1647"/>
      </w:pPr>
      <w:rPr>
        <w:rFonts w:ascii="Courier New" w:hAnsi="Courier New"/>
      </w:rPr>
    </w:lvl>
    <w:lvl w:ilvl="2" w:tplc="5F702F69">
      <w:start w:val="1"/>
      <w:numFmt w:val="bullet"/>
      <w:suff w:val="tab"/>
      <w:lvlText w:val=""/>
      <w:lvlJc w:val="left"/>
      <w:pPr>
        <w:ind w:hanging="360" w:left="2367"/>
      </w:pPr>
      <w:rPr>
        <w:rFonts w:ascii="Wingdings" w:hAnsi="Wingdings"/>
      </w:rPr>
    </w:lvl>
    <w:lvl w:ilvl="3" w:tplc="4484BC45">
      <w:start w:val="1"/>
      <w:numFmt w:val="bullet"/>
      <w:suff w:val="tab"/>
      <w:lvlText w:val=""/>
      <w:lvlJc w:val="left"/>
      <w:pPr>
        <w:ind w:hanging="360" w:left="3087"/>
      </w:pPr>
      <w:rPr>
        <w:rFonts w:ascii="Symbol" w:hAnsi="Symbol"/>
      </w:rPr>
    </w:lvl>
    <w:lvl w:ilvl="4" w:tplc="6D867EBA">
      <w:start w:val="1"/>
      <w:numFmt w:val="bullet"/>
      <w:suff w:val="tab"/>
      <w:lvlText w:val="o"/>
      <w:lvlJc w:val="left"/>
      <w:pPr>
        <w:ind w:hanging="360" w:left="3807"/>
      </w:pPr>
      <w:rPr>
        <w:rFonts w:ascii="Courier New" w:hAnsi="Courier New"/>
      </w:rPr>
    </w:lvl>
    <w:lvl w:ilvl="5" w:tplc="5FAE46CD">
      <w:start w:val="1"/>
      <w:numFmt w:val="bullet"/>
      <w:suff w:val="tab"/>
      <w:lvlText w:val=""/>
      <w:lvlJc w:val="left"/>
      <w:pPr>
        <w:ind w:hanging="360" w:left="4527"/>
      </w:pPr>
      <w:rPr>
        <w:rFonts w:ascii="Wingdings" w:hAnsi="Wingdings"/>
      </w:rPr>
    </w:lvl>
    <w:lvl w:ilvl="6" w:tplc="167FAEBA">
      <w:start w:val="1"/>
      <w:numFmt w:val="bullet"/>
      <w:suff w:val="tab"/>
      <w:lvlText w:val=""/>
      <w:lvlJc w:val="left"/>
      <w:pPr>
        <w:ind w:hanging="360" w:left="5247"/>
      </w:pPr>
      <w:rPr>
        <w:rFonts w:ascii="Symbol" w:hAnsi="Symbol"/>
      </w:rPr>
    </w:lvl>
    <w:lvl w:ilvl="7" w:tplc="4E2AE2E1">
      <w:start w:val="1"/>
      <w:numFmt w:val="bullet"/>
      <w:suff w:val="tab"/>
      <w:lvlText w:val="o"/>
      <w:lvlJc w:val="left"/>
      <w:pPr>
        <w:ind w:hanging="360" w:left="5967"/>
      </w:pPr>
      <w:rPr>
        <w:rFonts w:ascii="Courier New" w:hAnsi="Courier New"/>
      </w:rPr>
    </w:lvl>
    <w:lvl w:ilvl="8" w:tplc="5C6B16D1">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CAB219E">
      <w:start w:val="0"/>
      <w:numFmt w:val="bullet"/>
      <w:suff w:val="tab"/>
      <w:lvlText w:val="-"/>
      <w:lvlJc w:val="left"/>
      <w:pPr>
        <w:ind w:hanging="360" w:left="720"/>
        <w:tabs>
          <w:tab w:val="left" w:pos="720" w:leader="none"/>
        </w:tabs>
      </w:pPr>
      <w:rPr>
        <w:rFonts w:ascii="Times New Roman" w:hAnsi="Times New Roman"/>
      </w:rPr>
    </w:lvl>
    <w:lvl w:ilvl="1" w:tplc="6E49F9D5">
      <w:start w:val="1"/>
      <w:numFmt w:val="bullet"/>
      <w:suff w:val="tab"/>
      <w:lvlText w:val="o"/>
      <w:lvlJc w:val="left"/>
      <w:pPr>
        <w:ind w:hanging="360" w:left="1440"/>
        <w:tabs>
          <w:tab w:val="left" w:pos="1440" w:leader="none"/>
        </w:tabs>
      </w:pPr>
      <w:rPr>
        <w:rFonts w:ascii="Courier New" w:hAnsi="Courier New"/>
      </w:rPr>
    </w:lvl>
    <w:lvl w:ilvl="2" w:tplc="5ADCEC02">
      <w:start w:val="1"/>
      <w:numFmt w:val="bullet"/>
      <w:suff w:val="tab"/>
      <w:lvlText w:val=""/>
      <w:lvlJc w:val="left"/>
      <w:pPr>
        <w:ind w:hanging="360" w:left="2160"/>
        <w:tabs>
          <w:tab w:val="left" w:pos="2160" w:leader="none"/>
        </w:tabs>
      </w:pPr>
      <w:rPr>
        <w:rFonts w:ascii="Wingdings" w:hAnsi="Wingdings"/>
      </w:rPr>
    </w:lvl>
    <w:lvl w:ilvl="3" w:tplc="0DC65F50">
      <w:start w:val="1"/>
      <w:numFmt w:val="bullet"/>
      <w:suff w:val="tab"/>
      <w:lvlText w:val=""/>
      <w:lvlJc w:val="left"/>
      <w:pPr>
        <w:ind w:hanging="360" w:left="2880"/>
        <w:tabs>
          <w:tab w:val="left" w:pos="2880" w:leader="none"/>
        </w:tabs>
      </w:pPr>
      <w:rPr>
        <w:rFonts w:ascii="Symbol" w:hAnsi="Symbol"/>
      </w:rPr>
    </w:lvl>
    <w:lvl w:ilvl="4" w:tplc="57A068B3">
      <w:start w:val="1"/>
      <w:numFmt w:val="bullet"/>
      <w:suff w:val="tab"/>
      <w:lvlText w:val="o"/>
      <w:lvlJc w:val="left"/>
      <w:pPr>
        <w:ind w:hanging="360" w:left="3600"/>
        <w:tabs>
          <w:tab w:val="left" w:pos="3600" w:leader="none"/>
        </w:tabs>
      </w:pPr>
      <w:rPr>
        <w:rFonts w:ascii="Courier New" w:hAnsi="Courier New"/>
      </w:rPr>
    </w:lvl>
    <w:lvl w:ilvl="5" w:tplc="277510A0">
      <w:start w:val="1"/>
      <w:numFmt w:val="bullet"/>
      <w:suff w:val="tab"/>
      <w:lvlText w:val=""/>
      <w:lvlJc w:val="left"/>
      <w:pPr>
        <w:ind w:hanging="360" w:left="4320"/>
        <w:tabs>
          <w:tab w:val="left" w:pos="4320" w:leader="none"/>
        </w:tabs>
      </w:pPr>
      <w:rPr>
        <w:rFonts w:ascii="Wingdings" w:hAnsi="Wingdings"/>
      </w:rPr>
    </w:lvl>
    <w:lvl w:ilvl="6" w:tplc="7D501C05">
      <w:start w:val="1"/>
      <w:numFmt w:val="bullet"/>
      <w:suff w:val="tab"/>
      <w:lvlText w:val=""/>
      <w:lvlJc w:val="left"/>
      <w:pPr>
        <w:ind w:hanging="360" w:left="5040"/>
        <w:tabs>
          <w:tab w:val="left" w:pos="5040" w:leader="none"/>
        </w:tabs>
      </w:pPr>
      <w:rPr>
        <w:rFonts w:ascii="Symbol" w:hAnsi="Symbol"/>
      </w:rPr>
    </w:lvl>
    <w:lvl w:ilvl="7" w:tplc="1B01090A">
      <w:start w:val="1"/>
      <w:numFmt w:val="bullet"/>
      <w:suff w:val="tab"/>
      <w:lvlText w:val="o"/>
      <w:lvlJc w:val="left"/>
      <w:pPr>
        <w:ind w:hanging="360" w:left="5760"/>
        <w:tabs>
          <w:tab w:val="left" w:pos="5760" w:leader="none"/>
        </w:tabs>
      </w:pPr>
      <w:rPr>
        <w:rFonts w:ascii="Courier New" w:hAnsi="Courier New"/>
      </w:rPr>
    </w:lvl>
    <w:lvl w:ilvl="8" w:tplc="3523BCEE">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4FD43AB">
      <w:start w:val="1"/>
      <w:numFmt w:val="bullet"/>
      <w:suff w:val="tab"/>
      <w:lvlText w:val=""/>
      <w:lvlJc w:val="left"/>
      <w:pPr>
        <w:ind w:hanging="360" w:left="720"/>
        <w:tabs>
          <w:tab w:val="left" w:pos="720" w:leader="none"/>
        </w:tabs>
      </w:pPr>
      <w:rPr>
        <w:rFonts w:ascii="Symbol" w:hAnsi="Symbol"/>
      </w:rPr>
    </w:lvl>
    <w:lvl w:ilvl="1" w:tplc="7D6A5E83">
      <w:start w:val="1"/>
      <w:numFmt w:val="bullet"/>
      <w:suff w:val="tab"/>
      <w:lvlText w:val="o"/>
      <w:lvlJc w:val="left"/>
      <w:pPr>
        <w:ind w:hanging="360" w:left="1440"/>
        <w:tabs>
          <w:tab w:val="left" w:pos="1440" w:leader="none"/>
        </w:tabs>
      </w:pPr>
      <w:rPr>
        <w:rFonts w:ascii="Courier New" w:hAnsi="Courier New"/>
      </w:rPr>
    </w:lvl>
    <w:lvl w:ilvl="2" w:tplc="3904AE0D">
      <w:start w:val="1"/>
      <w:numFmt w:val="bullet"/>
      <w:suff w:val="tab"/>
      <w:lvlText w:val=""/>
      <w:lvlJc w:val="left"/>
      <w:pPr>
        <w:ind w:hanging="360" w:left="2160"/>
        <w:tabs>
          <w:tab w:val="left" w:pos="2160" w:leader="none"/>
        </w:tabs>
      </w:pPr>
      <w:rPr>
        <w:rFonts w:ascii="Wingdings" w:hAnsi="Wingdings"/>
      </w:rPr>
    </w:lvl>
    <w:lvl w:ilvl="3" w:tplc="37592689">
      <w:start w:val="1"/>
      <w:numFmt w:val="bullet"/>
      <w:suff w:val="tab"/>
      <w:lvlText w:val=""/>
      <w:lvlJc w:val="left"/>
      <w:pPr>
        <w:ind w:hanging="360" w:left="2880"/>
        <w:tabs>
          <w:tab w:val="left" w:pos="2880" w:leader="none"/>
        </w:tabs>
      </w:pPr>
      <w:rPr>
        <w:rFonts w:ascii="Symbol" w:hAnsi="Symbol"/>
      </w:rPr>
    </w:lvl>
    <w:lvl w:ilvl="4" w:tplc="79A32F6E">
      <w:start w:val="1"/>
      <w:numFmt w:val="bullet"/>
      <w:suff w:val="tab"/>
      <w:lvlText w:val="o"/>
      <w:lvlJc w:val="left"/>
      <w:pPr>
        <w:ind w:hanging="360" w:left="3600"/>
        <w:tabs>
          <w:tab w:val="left" w:pos="3600" w:leader="none"/>
        </w:tabs>
      </w:pPr>
      <w:rPr>
        <w:rFonts w:ascii="Courier New" w:hAnsi="Courier New"/>
      </w:rPr>
    </w:lvl>
    <w:lvl w:ilvl="5" w:tplc="70FD7348">
      <w:start w:val="1"/>
      <w:numFmt w:val="bullet"/>
      <w:suff w:val="tab"/>
      <w:lvlText w:val=""/>
      <w:lvlJc w:val="left"/>
      <w:pPr>
        <w:ind w:hanging="360" w:left="4320"/>
        <w:tabs>
          <w:tab w:val="left" w:pos="4320" w:leader="none"/>
        </w:tabs>
      </w:pPr>
      <w:rPr>
        <w:rFonts w:ascii="Wingdings" w:hAnsi="Wingdings"/>
      </w:rPr>
    </w:lvl>
    <w:lvl w:ilvl="6" w:tplc="18622459">
      <w:start w:val="1"/>
      <w:numFmt w:val="bullet"/>
      <w:suff w:val="tab"/>
      <w:lvlText w:val=""/>
      <w:lvlJc w:val="left"/>
      <w:pPr>
        <w:ind w:hanging="360" w:left="5040"/>
        <w:tabs>
          <w:tab w:val="left" w:pos="5040" w:leader="none"/>
        </w:tabs>
      </w:pPr>
      <w:rPr>
        <w:rFonts w:ascii="Symbol" w:hAnsi="Symbol"/>
      </w:rPr>
    </w:lvl>
    <w:lvl w:ilvl="7" w:tplc="19D20BB8">
      <w:start w:val="1"/>
      <w:numFmt w:val="bullet"/>
      <w:suff w:val="tab"/>
      <w:lvlText w:val="o"/>
      <w:lvlJc w:val="left"/>
      <w:pPr>
        <w:ind w:hanging="360" w:left="5760"/>
        <w:tabs>
          <w:tab w:val="left" w:pos="5760" w:leader="none"/>
        </w:tabs>
      </w:pPr>
      <w:rPr>
        <w:rFonts w:ascii="Courier New" w:hAnsi="Courier New"/>
      </w:rPr>
    </w:lvl>
    <w:lvl w:ilvl="8" w:tplc="57DB111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A02A01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2012-08-23T12:21:00Z</dcterms:created>
  <cp:lastModifiedBy>Ethan Puglia</cp:lastModifiedBy>
  <cp:lastPrinted>2012-09-03T14:16:00Z</cp:lastPrinted>
  <dcterms:modified xsi:type="dcterms:W3CDTF">2019-03-28T17:33:04Z</dcterms:modified>
  <cp:revision>10</cp:revision>
  <dc:title>PROYECTO DE ORDENANZA VIOLENCIA FAMILIAR</dc:title>
</cp:coreProperties>
</file>