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FB3BB3" Type="http://schemas.openxmlformats.org/officeDocument/2006/relationships/officeDocument" Target="/word/document.xml" /><Relationship Id="coreR34FB3B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9348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Expte. Nº 749/12, iniciado por Oriti Tizio Orlando, solicitando la excepción al Código de Edificación (Retiro mínimo de cuatro (4,00) metros de línea de fondo o sea del eje medianero) respecto de una edificación en un lote ubicado en Av. Gral. Paz 878 esq. Bunge de Gálvez con la siguiente nomenclatura catastral 01-01-119-10;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t xml:space="preserve">     </w:t>
      </w:r>
      <w:r>
        <w:rPr>
          <w:rStyle w:val="C3"/>
          <w:rFonts w:ascii="Courier New" w:hAnsi="Courier New"/>
        </w:rPr>
        <w:t xml:space="preserve"> Que a fs. 05 el Área de Planeamiento y Patrimonio opina    favorablemente con respecto a la excepción  solicitando;</w:t>
      </w: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 fs. 06 la Secretaría de Obras y Servicios Públicos informa y opina acceder a la excepción solicitada;</w:t>
      </w: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analizado el Expediente de referencia, la Comisión de Obras y Servicios Públicos emite despacho aprobando lo solicitado, despacho aprobado por unanimidad en sesión de fecha 15 de agosto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construcción sin el cumplimiento del art. 240 de la Ordenanza Nº 8547 (retiro de fondo) para el Eje Comercial-Recreativo, Bv. Sarmiento - Gral. Paz, sobre el lote de terreno designación catastral 01-01-119-010.</w:t>
      </w: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DEBERÁ </w:t>
      </w:r>
      <w:r>
        <w:rPr>
          <w:rStyle w:val="C3"/>
          <w:rFonts w:ascii="Courier New" w:hAnsi="Courier New"/>
        </w:rPr>
        <w:t>la autoridad de aplicación verificar que la edificación motivo de la excepción no afecte la evacuación natural, debido a la topografía existente en la zona, de los desagües pluviales de la propiedad colindante.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VEINTIDOS DÍAS DEL MES DE AGOSTO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965550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BC75B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B1545E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C0E1F1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EB8F86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C73EAB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4FA86D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AAA7C4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9EB0DB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5680C1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8742A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A598C4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1125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D2214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02396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FD172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A940F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3CB76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A6D1A4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1FCD23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E58A4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843FB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5395CD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BE20BE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9E708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7C605C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DB0A3E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28E4FEE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2012-08-16T15:37:00Z</dcterms:created>
  <cp:lastModifiedBy>Ethan Puglia</cp:lastModifiedBy>
  <cp:lastPrinted>2012-08-16T16:41:00Z</cp:lastPrinted>
  <dcterms:modified xsi:type="dcterms:W3CDTF">2019-03-28T17:33:04Z</dcterms:modified>
  <cp:revision>10</cp:revision>
  <dc:title>PROYECTO DE ORDENANZA VIOLENCIA FAMILIAR</dc:title>
</cp:coreProperties>
</file>