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AE42F76" Type="http://schemas.openxmlformats.org/officeDocument/2006/relationships/officeDocument" Target="/word/document.xml" /><Relationship Id="coreR4AE42F7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Pr>
        <w:pStyle w:val="P4"/>
        <w:jc w:val="left"/>
      </w:pPr>
    </w:p>
    <w:p>
      <w:pPr>
        <w:pStyle w:val="P4"/>
      </w:pPr>
      <w:r>
        <w:t xml:space="preserve">ORDENANZA Nº 9349 </w:t>
      </w:r>
    </w:p>
    <w:p/>
    <w:p/>
    <w:p>
      <w:pPr>
        <w:spacing w:before="100" w:after="100" w:beforeAutospacing="1" w:afterAutospacing="1"/>
        <w:ind w:hanging="426" w:left="426"/>
        <w:jc w:val="both"/>
        <w:rPr>
          <w:rStyle w:val="C3"/>
          <w:rFonts w:ascii="Courier New" w:hAnsi="Courier New"/>
        </w:rPr>
      </w:pPr>
      <w:r>
        <w:rPr>
          <w:rStyle w:val="C3"/>
          <w:rFonts w:ascii="Courier New" w:hAnsi="Courier New"/>
        </w:rPr>
        <w:t xml:space="preserve">Visto: La  Ordenanza Nº 9328 y  la Ordenanza Nº 9329; y</w:t>
      </w:r>
    </w:p>
    <w:p>
      <w:pPr>
        <w:tabs>
          <w:tab w:val="left" w:pos="5255" w:leader="none"/>
        </w:tabs>
        <w:jc w:val="both"/>
        <w:rPr>
          <w:rStyle w:val="C3"/>
          <w:rFonts w:ascii="Courier New" w:hAnsi="Courier New"/>
        </w:rPr>
      </w:pPr>
    </w:p>
    <w:p>
      <w:pPr>
        <w:pStyle w:val="P2"/>
      </w:pPr>
      <w:r>
        <w:t>C O N S I D E R A N D O</w:t>
      </w:r>
    </w:p>
    <w:p/>
    <w:p>
      <w:pPr>
        <w:tabs>
          <w:tab w:val="left" w:pos="2824" w:leader="none"/>
        </w:tabs>
        <w:ind w:hanging="426" w:left="426"/>
        <w:jc w:val="both"/>
        <w:rPr>
          <w:rStyle w:val="C3"/>
          <w:rFonts w:ascii="Courier New" w:hAnsi="Courier New"/>
        </w:rPr>
      </w:pPr>
      <w:r>
        <w:t xml:space="preserve">     </w:t>
      </w:r>
      <w:r>
        <w:rPr>
          <w:rStyle w:val="C3"/>
          <w:rFonts w:ascii="Courier New" w:hAnsi="Courier New"/>
        </w:rPr>
        <w:t xml:space="preserve"> Que atento a que la Ordenanza Nº 9329 ha venido a modificar a la Ordenanza Impositiva Nº 3873, la cual es el complemento tributario de la Ordenanza Nº 9328 que fue dictada a fin de regularizar y reglamentar las estructuras portantes de antenas y equipos de comunicaciones de telefonía fija y celular existentes y ha construirse dentro del ejido municipal;</w:t>
      </w:r>
    </w:p>
    <w:p>
      <w:pPr>
        <w:tabs>
          <w:tab w:val="left" w:pos="2824" w:leader="none"/>
        </w:tabs>
        <w:ind w:hanging="426" w:left="426"/>
        <w:jc w:val="both"/>
        <w:rPr>
          <w:rStyle w:val="C3"/>
          <w:rFonts w:ascii="Courier New" w:hAnsi="Courier New"/>
        </w:rPr>
      </w:pPr>
    </w:p>
    <w:p>
      <w:pPr>
        <w:tabs>
          <w:tab w:val="left" w:pos="2824" w:leader="none"/>
        </w:tabs>
        <w:ind w:hanging="426" w:left="426"/>
        <w:jc w:val="both"/>
        <w:rPr>
          <w:rStyle w:val="C3"/>
          <w:rFonts w:ascii="Courier New" w:hAnsi="Courier New"/>
        </w:rPr>
      </w:pPr>
      <w:r>
        <w:rPr>
          <w:rStyle w:val="C3"/>
          <w:rFonts w:ascii="Courier New" w:hAnsi="Courier New"/>
        </w:rPr>
        <w:t xml:space="preserve">   Que las estructuras portantes existentes han sido construidas, en algunos casos, bajo la orfandad reglamentaria; y en otros se trata de estructuras que al momento de su construcción se encontraban en zona rural y fuera del ejido municipal, o sea que esta Municipalidad carecía de jurisdicción sobre el lugar, y por tanto las normas a que se sujetaron lo han sido estrictamente a las dictadas por la Autoridad de Aplicación en materia de telecomunicaciones a nivel nacional;</w:t>
      </w:r>
    </w:p>
    <w:p>
      <w:pPr>
        <w:tabs>
          <w:tab w:val="left" w:pos="2824" w:leader="none"/>
        </w:tabs>
        <w:ind w:hanging="426" w:left="426"/>
        <w:jc w:val="both"/>
        <w:rPr>
          <w:rStyle w:val="C3"/>
          <w:rFonts w:ascii="Courier New" w:hAnsi="Courier New"/>
        </w:rPr>
      </w:pPr>
    </w:p>
    <w:p>
      <w:pPr>
        <w:tabs>
          <w:tab w:val="left" w:pos="2824" w:leader="none"/>
        </w:tabs>
        <w:ind w:hanging="426" w:left="426"/>
        <w:jc w:val="both"/>
        <w:rPr>
          <w:rStyle w:val="C3"/>
          <w:rFonts w:ascii="Courier New" w:hAnsi="Courier New"/>
        </w:rPr>
      </w:pPr>
      <w:r>
        <w:rPr>
          <w:rStyle w:val="C3"/>
          <w:rFonts w:ascii="Courier New" w:hAnsi="Courier New"/>
        </w:rPr>
        <w:t xml:space="preserve">   Que dichas situaciones traen aparejada una situación de conflictividad, que debe tratar de evitarse, y a la vez conseguir los medios económicos suficientes para poder implementar y prestar el debido servicio de control de las mismas por parte de la Municipalidad, se hace necesario dotar al Departamento Ejecutivo de una herramienta financiera, y exenta de costos para el erario municipal, a fin que le permita negociar adelantos de tasas a futuro con las propietarias de las estructuras afectadas;</w:t>
      </w:r>
    </w:p>
    <w:p>
      <w:pPr>
        <w:tabs>
          <w:tab w:val="left" w:pos="2824" w:leader="none"/>
        </w:tabs>
        <w:ind w:hanging="426" w:left="426"/>
        <w:jc w:val="both"/>
        <w:rPr>
          <w:rStyle w:val="C3"/>
          <w:rFonts w:ascii="Courier New" w:hAnsi="Courier New"/>
        </w:rPr>
      </w:pPr>
    </w:p>
    <w:p>
      <w:pPr>
        <w:tabs>
          <w:tab w:val="left" w:pos="2824" w:leader="none"/>
        </w:tabs>
        <w:ind w:hanging="426" w:left="426"/>
        <w:jc w:val="both"/>
        <w:rPr>
          <w:rStyle w:val="C3"/>
          <w:rFonts w:ascii="Courier New" w:hAnsi="Courier New"/>
        </w:rPr>
      </w:pPr>
      <w:r>
        <w:rPr>
          <w:rStyle w:val="C3"/>
          <w:rFonts w:ascii="Courier New" w:hAnsi="Courier New"/>
        </w:rPr>
        <w:t xml:space="preserve">   Que analizado el proyecto de Ordenanza en Sesión de fecha 29 de agosto de 2012, se resuelve por unanimidad aprobar en general y en particular con modificaciones el Proyecto de Ordenanza del Departamento Ejecutivo.</w:t>
      </w:r>
    </w:p>
    <w:p>
      <w:pPr>
        <w:pStyle w:val="P11"/>
        <w:jc w:val="right"/>
      </w:pPr>
      <w:r>
        <w:t>...///</w:t>
      </w:r>
    </w:p>
    <w:p>
      <w:pPr>
        <w:pStyle w:val="P11"/>
      </w:pPr>
    </w:p>
    <w:p>
      <w:pPr>
        <w:pStyle w:val="P11"/>
      </w:pPr>
    </w:p>
    <w:p>
      <w:pPr>
        <w:pStyle w:val="P11"/>
      </w:pPr>
    </w:p>
    <w:p>
      <w:pPr>
        <w:pStyle w:val="P11"/>
      </w:pPr>
    </w:p>
    <w:p>
      <w:pPr>
        <w:pStyle w:val="P11"/>
      </w:pPr>
    </w:p>
    <w:p>
      <w:pPr>
        <w:pStyle w:val="P11"/>
        <w:rPr>
          <w:rStyle w:val="C3"/>
          <w:b w:val="1"/>
        </w:rPr>
      </w:pPr>
    </w:p>
    <w:p>
      <w:pPr>
        <w:pStyle w:val="P11"/>
        <w:ind w:left="567"/>
        <w:jc w:val="left"/>
      </w:pPr>
      <w:r>
        <w:t>...///2.-</w:t>
      </w: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beforeAutospacing="1" w:afterAutospacing="1"/>
        <w:jc w:val="both"/>
        <w:rPr>
          <w:rStyle w:val="C3"/>
          <w:rFonts w:ascii="Courier New" w:hAnsi="Courier New"/>
          <w:b w:val="1"/>
          <w:u w:val="single"/>
        </w:rPr>
      </w:pPr>
    </w:p>
    <w:p>
      <w:pPr>
        <w:spacing w:beforeAutospacing="1" w:afterAutospacing="1"/>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FACÚL</w:t>
      </w:r>
      <w:r>
        <w:rPr>
          <w:rStyle w:val="C3"/>
          <w:rFonts w:ascii="Courier New" w:hAnsi="Courier New"/>
          <w:b w:val="1"/>
        </w:rPr>
        <w:t xml:space="preserve">TASE </w:t>
      </w:r>
      <w:r>
        <w:rPr>
          <w:rStyle w:val="C3"/>
          <w:rFonts w:ascii="Courier New" w:hAnsi="Courier New"/>
        </w:rPr>
        <w:t xml:space="preserve">al Departamento Ejecutivo a percibir la tasa anual de  verificación de cumplimiento de normas de seguridad, establecida por el artículo 189 bis de la Ordenanza Nº 3873, de manera adelantada, por períodos anuales completos que no excedan períodos de gobierno  de una gestión.-</w:t>
      </w:r>
    </w:p>
    <w:p>
      <w:pPr>
        <w:jc w:val="both"/>
        <w:rPr>
          <w:rStyle w:val="C3"/>
          <w:rFonts w:ascii="Courier New" w:hAnsi="Courier New"/>
          <w:b w:val="1"/>
        </w:rPr>
      </w:pPr>
      <w:r>
        <w:rPr>
          <w:rStyle w:val="C3"/>
          <w:rFonts w:ascii="Courier New" w:hAnsi="Courier New"/>
          <w:b w:val="1"/>
        </w:rPr>
        <w:t xml:space="preserve">  </w:t>
      </w:r>
    </w:p>
    <w:p>
      <w:pPr>
        <w:jc w:val="both"/>
        <w:rPr>
          <w:rStyle w:val="C3"/>
          <w:rFonts w:ascii="Courier New" w:hAnsi="Courier New"/>
        </w:rPr>
      </w:pPr>
      <w:r>
        <w:rPr>
          <w:rStyle w:val="C3"/>
          <w:rFonts w:ascii="Courier New" w:hAnsi="Courier New"/>
          <w:b w:val="1"/>
        </w:rPr>
        <w:t xml:space="preserve"> </w:t>
      </w: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pStyle w:val="P17"/>
        <w:rPr>
          <w:rStyle w:val="C3"/>
        </w:rPr>
      </w:pPr>
    </w:p>
    <w:p>
      <w:pPr>
        <w:pStyle w:val="P17"/>
      </w:pPr>
      <w:r>
        <w:t xml:space="preserve">DADA EN LA SALA DE SESIONES DEL HONORABLE CONCEJO DELIBERANTE A VEINTINUEVE DÍAS DEL MES DE AGOSTO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5B96764D">
      <w:start w:val="0"/>
      <w:numFmt w:val="bullet"/>
      <w:suff w:val="tab"/>
      <w:lvlText w:val=""/>
      <w:lvlJc w:val="left"/>
      <w:pPr>
        <w:ind w:hanging="360" w:left="927"/>
      </w:pPr>
      <w:rPr>
        <w:rFonts w:ascii="Symbol" w:hAnsi="Symbol"/>
      </w:rPr>
    </w:lvl>
    <w:lvl w:ilvl="1" w:tplc="19135C89">
      <w:start w:val="1"/>
      <w:numFmt w:val="bullet"/>
      <w:suff w:val="tab"/>
      <w:lvlText w:val="o"/>
      <w:lvlJc w:val="left"/>
      <w:pPr>
        <w:ind w:hanging="360" w:left="1647"/>
      </w:pPr>
      <w:rPr>
        <w:rFonts w:ascii="Courier New" w:hAnsi="Courier New"/>
      </w:rPr>
    </w:lvl>
    <w:lvl w:ilvl="2" w:tplc="2B31F1A9">
      <w:start w:val="1"/>
      <w:numFmt w:val="bullet"/>
      <w:suff w:val="tab"/>
      <w:lvlText w:val=""/>
      <w:lvlJc w:val="left"/>
      <w:pPr>
        <w:ind w:hanging="360" w:left="2367"/>
      </w:pPr>
      <w:rPr>
        <w:rFonts w:ascii="Wingdings" w:hAnsi="Wingdings"/>
      </w:rPr>
    </w:lvl>
    <w:lvl w:ilvl="3" w:tplc="39C56695">
      <w:start w:val="1"/>
      <w:numFmt w:val="bullet"/>
      <w:suff w:val="tab"/>
      <w:lvlText w:val=""/>
      <w:lvlJc w:val="left"/>
      <w:pPr>
        <w:ind w:hanging="360" w:left="3087"/>
      </w:pPr>
      <w:rPr>
        <w:rFonts w:ascii="Symbol" w:hAnsi="Symbol"/>
      </w:rPr>
    </w:lvl>
    <w:lvl w:ilvl="4" w:tplc="62DC354C">
      <w:start w:val="1"/>
      <w:numFmt w:val="bullet"/>
      <w:suff w:val="tab"/>
      <w:lvlText w:val="o"/>
      <w:lvlJc w:val="left"/>
      <w:pPr>
        <w:ind w:hanging="360" w:left="3807"/>
      </w:pPr>
      <w:rPr>
        <w:rFonts w:ascii="Courier New" w:hAnsi="Courier New"/>
      </w:rPr>
    </w:lvl>
    <w:lvl w:ilvl="5" w:tplc="017F5473">
      <w:start w:val="1"/>
      <w:numFmt w:val="bullet"/>
      <w:suff w:val="tab"/>
      <w:lvlText w:val=""/>
      <w:lvlJc w:val="left"/>
      <w:pPr>
        <w:ind w:hanging="360" w:left="4527"/>
      </w:pPr>
      <w:rPr>
        <w:rFonts w:ascii="Wingdings" w:hAnsi="Wingdings"/>
      </w:rPr>
    </w:lvl>
    <w:lvl w:ilvl="6" w:tplc="74B505BA">
      <w:start w:val="1"/>
      <w:numFmt w:val="bullet"/>
      <w:suff w:val="tab"/>
      <w:lvlText w:val=""/>
      <w:lvlJc w:val="left"/>
      <w:pPr>
        <w:ind w:hanging="360" w:left="5247"/>
      </w:pPr>
      <w:rPr>
        <w:rFonts w:ascii="Symbol" w:hAnsi="Symbol"/>
      </w:rPr>
    </w:lvl>
    <w:lvl w:ilvl="7" w:tplc="0533F019">
      <w:start w:val="1"/>
      <w:numFmt w:val="bullet"/>
      <w:suff w:val="tab"/>
      <w:lvlText w:val="o"/>
      <w:lvlJc w:val="left"/>
      <w:pPr>
        <w:ind w:hanging="360" w:left="5967"/>
      </w:pPr>
      <w:rPr>
        <w:rFonts w:ascii="Courier New" w:hAnsi="Courier New"/>
      </w:rPr>
    </w:lvl>
    <w:lvl w:ilvl="8" w:tplc="153C952C">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0C2E9ED3">
      <w:start w:val="0"/>
      <w:numFmt w:val="bullet"/>
      <w:suff w:val="tab"/>
      <w:lvlText w:val="-"/>
      <w:lvlJc w:val="left"/>
      <w:pPr>
        <w:ind w:hanging="360" w:left="720"/>
        <w:tabs>
          <w:tab w:val="left" w:pos="720" w:leader="none"/>
        </w:tabs>
      </w:pPr>
      <w:rPr>
        <w:rFonts w:ascii="Times New Roman" w:hAnsi="Times New Roman"/>
      </w:rPr>
    </w:lvl>
    <w:lvl w:ilvl="1" w:tplc="3F99F3D5">
      <w:start w:val="1"/>
      <w:numFmt w:val="bullet"/>
      <w:suff w:val="tab"/>
      <w:lvlText w:val="o"/>
      <w:lvlJc w:val="left"/>
      <w:pPr>
        <w:ind w:hanging="360" w:left="1440"/>
        <w:tabs>
          <w:tab w:val="left" w:pos="1440" w:leader="none"/>
        </w:tabs>
      </w:pPr>
      <w:rPr>
        <w:rFonts w:ascii="Courier New" w:hAnsi="Courier New"/>
      </w:rPr>
    </w:lvl>
    <w:lvl w:ilvl="2" w:tplc="57DF24DC">
      <w:start w:val="1"/>
      <w:numFmt w:val="bullet"/>
      <w:suff w:val="tab"/>
      <w:lvlText w:val=""/>
      <w:lvlJc w:val="left"/>
      <w:pPr>
        <w:ind w:hanging="360" w:left="2160"/>
        <w:tabs>
          <w:tab w:val="left" w:pos="2160" w:leader="none"/>
        </w:tabs>
      </w:pPr>
      <w:rPr>
        <w:rFonts w:ascii="Wingdings" w:hAnsi="Wingdings"/>
      </w:rPr>
    </w:lvl>
    <w:lvl w:ilvl="3" w:tplc="6B88B187">
      <w:start w:val="1"/>
      <w:numFmt w:val="bullet"/>
      <w:suff w:val="tab"/>
      <w:lvlText w:val=""/>
      <w:lvlJc w:val="left"/>
      <w:pPr>
        <w:ind w:hanging="360" w:left="2880"/>
        <w:tabs>
          <w:tab w:val="left" w:pos="2880" w:leader="none"/>
        </w:tabs>
      </w:pPr>
      <w:rPr>
        <w:rFonts w:ascii="Symbol" w:hAnsi="Symbol"/>
      </w:rPr>
    </w:lvl>
    <w:lvl w:ilvl="4" w:tplc="4B74E03F">
      <w:start w:val="1"/>
      <w:numFmt w:val="bullet"/>
      <w:suff w:val="tab"/>
      <w:lvlText w:val="o"/>
      <w:lvlJc w:val="left"/>
      <w:pPr>
        <w:ind w:hanging="360" w:left="3600"/>
        <w:tabs>
          <w:tab w:val="left" w:pos="3600" w:leader="none"/>
        </w:tabs>
      </w:pPr>
      <w:rPr>
        <w:rFonts w:ascii="Courier New" w:hAnsi="Courier New"/>
      </w:rPr>
    </w:lvl>
    <w:lvl w:ilvl="5" w:tplc="32CC4D01">
      <w:start w:val="1"/>
      <w:numFmt w:val="bullet"/>
      <w:suff w:val="tab"/>
      <w:lvlText w:val=""/>
      <w:lvlJc w:val="left"/>
      <w:pPr>
        <w:ind w:hanging="360" w:left="4320"/>
        <w:tabs>
          <w:tab w:val="left" w:pos="4320" w:leader="none"/>
        </w:tabs>
      </w:pPr>
      <w:rPr>
        <w:rFonts w:ascii="Wingdings" w:hAnsi="Wingdings"/>
      </w:rPr>
    </w:lvl>
    <w:lvl w:ilvl="6" w:tplc="427C66FD">
      <w:start w:val="1"/>
      <w:numFmt w:val="bullet"/>
      <w:suff w:val="tab"/>
      <w:lvlText w:val=""/>
      <w:lvlJc w:val="left"/>
      <w:pPr>
        <w:ind w:hanging="360" w:left="5040"/>
        <w:tabs>
          <w:tab w:val="left" w:pos="5040" w:leader="none"/>
        </w:tabs>
      </w:pPr>
      <w:rPr>
        <w:rFonts w:ascii="Symbol" w:hAnsi="Symbol"/>
      </w:rPr>
    </w:lvl>
    <w:lvl w:ilvl="7" w:tplc="7ED53C9E">
      <w:start w:val="1"/>
      <w:numFmt w:val="bullet"/>
      <w:suff w:val="tab"/>
      <w:lvlText w:val="o"/>
      <w:lvlJc w:val="left"/>
      <w:pPr>
        <w:ind w:hanging="360" w:left="5760"/>
        <w:tabs>
          <w:tab w:val="left" w:pos="5760" w:leader="none"/>
        </w:tabs>
      </w:pPr>
      <w:rPr>
        <w:rFonts w:ascii="Courier New" w:hAnsi="Courier New"/>
      </w:rPr>
    </w:lvl>
    <w:lvl w:ilvl="8" w:tplc="4965AEC6">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3ACFED4C">
      <w:start w:val="1"/>
      <w:numFmt w:val="bullet"/>
      <w:suff w:val="tab"/>
      <w:lvlText w:val=""/>
      <w:lvlJc w:val="left"/>
      <w:pPr>
        <w:ind w:hanging="360" w:left="720"/>
        <w:tabs>
          <w:tab w:val="left" w:pos="720" w:leader="none"/>
        </w:tabs>
      </w:pPr>
      <w:rPr>
        <w:rFonts w:ascii="Symbol" w:hAnsi="Symbol"/>
      </w:rPr>
    </w:lvl>
    <w:lvl w:ilvl="1" w:tplc="413CD1A0">
      <w:start w:val="1"/>
      <w:numFmt w:val="bullet"/>
      <w:suff w:val="tab"/>
      <w:lvlText w:val="o"/>
      <w:lvlJc w:val="left"/>
      <w:pPr>
        <w:ind w:hanging="360" w:left="1440"/>
        <w:tabs>
          <w:tab w:val="left" w:pos="1440" w:leader="none"/>
        </w:tabs>
      </w:pPr>
      <w:rPr>
        <w:rFonts w:ascii="Courier New" w:hAnsi="Courier New"/>
      </w:rPr>
    </w:lvl>
    <w:lvl w:ilvl="2" w:tplc="534B5714">
      <w:start w:val="1"/>
      <w:numFmt w:val="bullet"/>
      <w:suff w:val="tab"/>
      <w:lvlText w:val=""/>
      <w:lvlJc w:val="left"/>
      <w:pPr>
        <w:ind w:hanging="360" w:left="2160"/>
        <w:tabs>
          <w:tab w:val="left" w:pos="2160" w:leader="none"/>
        </w:tabs>
      </w:pPr>
      <w:rPr>
        <w:rFonts w:ascii="Wingdings" w:hAnsi="Wingdings"/>
      </w:rPr>
    </w:lvl>
    <w:lvl w:ilvl="3" w:tplc="22218380">
      <w:start w:val="1"/>
      <w:numFmt w:val="bullet"/>
      <w:suff w:val="tab"/>
      <w:lvlText w:val=""/>
      <w:lvlJc w:val="left"/>
      <w:pPr>
        <w:ind w:hanging="360" w:left="2880"/>
        <w:tabs>
          <w:tab w:val="left" w:pos="2880" w:leader="none"/>
        </w:tabs>
      </w:pPr>
      <w:rPr>
        <w:rFonts w:ascii="Symbol" w:hAnsi="Symbol"/>
      </w:rPr>
    </w:lvl>
    <w:lvl w:ilvl="4" w:tplc="43B44E58">
      <w:start w:val="1"/>
      <w:numFmt w:val="bullet"/>
      <w:suff w:val="tab"/>
      <w:lvlText w:val="o"/>
      <w:lvlJc w:val="left"/>
      <w:pPr>
        <w:ind w:hanging="360" w:left="3600"/>
        <w:tabs>
          <w:tab w:val="left" w:pos="3600" w:leader="none"/>
        </w:tabs>
      </w:pPr>
      <w:rPr>
        <w:rFonts w:ascii="Courier New" w:hAnsi="Courier New"/>
      </w:rPr>
    </w:lvl>
    <w:lvl w:ilvl="5" w:tplc="17CC1ACF">
      <w:start w:val="1"/>
      <w:numFmt w:val="bullet"/>
      <w:suff w:val="tab"/>
      <w:lvlText w:val=""/>
      <w:lvlJc w:val="left"/>
      <w:pPr>
        <w:ind w:hanging="360" w:left="4320"/>
        <w:tabs>
          <w:tab w:val="left" w:pos="4320" w:leader="none"/>
        </w:tabs>
      </w:pPr>
      <w:rPr>
        <w:rFonts w:ascii="Wingdings" w:hAnsi="Wingdings"/>
      </w:rPr>
    </w:lvl>
    <w:lvl w:ilvl="6" w:tplc="3F8EA6C7">
      <w:start w:val="1"/>
      <w:numFmt w:val="bullet"/>
      <w:suff w:val="tab"/>
      <w:lvlText w:val=""/>
      <w:lvlJc w:val="left"/>
      <w:pPr>
        <w:ind w:hanging="360" w:left="5040"/>
        <w:tabs>
          <w:tab w:val="left" w:pos="5040" w:leader="none"/>
        </w:tabs>
      </w:pPr>
      <w:rPr>
        <w:rFonts w:ascii="Symbol" w:hAnsi="Symbol"/>
      </w:rPr>
    </w:lvl>
    <w:lvl w:ilvl="7" w:tplc="47629C8E">
      <w:start w:val="1"/>
      <w:numFmt w:val="bullet"/>
      <w:suff w:val="tab"/>
      <w:lvlText w:val="o"/>
      <w:lvlJc w:val="left"/>
      <w:pPr>
        <w:ind w:hanging="360" w:left="5760"/>
        <w:tabs>
          <w:tab w:val="left" w:pos="5760" w:leader="none"/>
        </w:tabs>
      </w:pPr>
      <w:rPr>
        <w:rFonts w:ascii="Courier New" w:hAnsi="Courier New"/>
      </w:rPr>
    </w:lvl>
    <w:lvl w:ilvl="8" w:tplc="358F311A">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79E1155A">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2012-08-29T14:43:00Z</dcterms:created>
  <cp:lastModifiedBy>Ethan Puglia</cp:lastModifiedBy>
  <cp:lastPrinted>2012-08-16T16:41:00Z</cp:lastPrinted>
  <dcterms:modified xsi:type="dcterms:W3CDTF">2019-03-28T17:33:04Z</dcterms:modified>
  <cp:revision>5</cp:revision>
  <dc:title>PROYECTO DE ORDENANZA VIOLENCIA FAMILIAR</dc:title>
</cp:coreProperties>
</file>