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DC065C4" Type="http://schemas.openxmlformats.org/officeDocument/2006/relationships/officeDocument" Target="/word/document.xml" /><Relationship Id="coreR2DC065C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9355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Visto: Que el próximo 16 de septiembre  vence la prórroga establecida por Ordenanza Nº 9339,  de la Ordenanza Nº 9331;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esta Comisión de Asuntos Ambientales y Salud sigue  trabajando sobre el proyecto de ordenanza elevado por el Departamento Ejecutivo regulando el uso de agroquímicos y estableciendo una zona de resguardo;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dentro del marco de trabajo, como ya se detalló en la Ordenanza Nº 9339, se llevan a cabo reuniones con distintos sectores, demorándose a veces la fecha de las mismas para poder compatibilizar los horarios o contar con disponibilidad los profesionales participantes;</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faltan realizar reuniones con los vecinos afectados y con todos aquellos que tengan interés en participar para expresar su opinión sobre un tema tan importante para el bienestar de la población;</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además, como cierre, la Comisión pretende establecer un mecanismo de intercambio de informaciones y debates, teniendo en cuenta que se trata de velar por la salubridad de la población;</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dentro de este marco se hace necesario mantener la posibilidad que el Departamento Ejecutivo pueda suspender la autorización para la utilización de agroquímicos en zonas periurbanas de la ciudad, en los casos que lo crea necesario para velar por la salubridad de la población, primando para esto el principio precautorio vigente;</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en este marco, se cree necesario fijar un nuevo plazo a fin de continuar con las reuniones planteadas, para lograr la mayor cantidad de información necesaria, el mayor intercambio de opiniones, la mayor pluralidad de posiciones y así lograr el mejor consenso posible en un tema tan sensible a la población;</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analizada la situación por Comisión de Asuntos Ambientales y Salud, la misma emite despacho sugiriendo la continuidad de la medida adoptada mediante Ordenanza Nº 9331, despacho aprobado por unanimidad en Sesión Ordinaria del día 12 de Septiembre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ESTABLÉ</w:t>
      </w:r>
      <w:r>
        <w:rPr>
          <w:rStyle w:val="C3"/>
          <w:rFonts w:ascii="Courier New" w:hAnsi="Courier New"/>
          <w:b w:val="1"/>
        </w:rPr>
        <w:t xml:space="preserve">ZCASE </w:t>
      </w:r>
      <w:r>
        <w:rPr>
          <w:rStyle w:val="C3"/>
          <w:rFonts w:ascii="Courier New" w:hAnsi="Courier New"/>
        </w:rPr>
        <w:t xml:space="preserve">nuevamente un plazo  de treinta días para que el Departamento Ejecutivo pueda suspender, en los casos que lo crea necesario, para velar por la salubridad de la población, la utilización de agroquímicos en zonas periurbanas de la ciudad de Alta Gracia, pudiendo este plazo ser prorrogable.</w:t>
      </w:r>
    </w:p>
    <w:p>
      <w:pPr>
        <w:spacing w:beforeAutospacing="1" w:afterAutospacing="1"/>
        <w:ind w:hanging="426" w:left="426"/>
        <w:jc w:val="both"/>
        <w:rPr>
          <w:rStyle w:val="C3"/>
          <w:rFonts w:ascii="Courier New" w:hAnsi="Courier New"/>
        </w:rPr>
      </w:pPr>
    </w:p>
    <w:p>
      <w:pPr>
        <w:pStyle w:val="P20"/>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 xml:space="preserve">PARA </w:t>
      </w:r>
      <w:r>
        <w:rPr>
          <w:rStyle w:val="C3"/>
          <w:sz w:val="24"/>
        </w:rPr>
        <w:t>los casos que se autorice la utilización de agroquímicos, mantiene plena vigencia la Ordenanza Nº 8021.</w:t>
      </w:r>
    </w:p>
    <w:p>
      <w:pPr>
        <w:spacing w:beforeAutospacing="1" w:afterAutospacing="1"/>
        <w:ind w:hanging="426" w:left="426"/>
        <w:jc w:val="both"/>
        <w:rPr>
          <w:rStyle w:val="C3"/>
          <w:rFonts w:ascii="Courier New" w:hAnsi="Courier New"/>
        </w:rPr>
      </w:pP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DOCE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9A77485">
      <w:start w:val="0"/>
      <w:numFmt w:val="bullet"/>
      <w:suff w:val="tab"/>
      <w:lvlText w:val=""/>
      <w:lvlJc w:val="left"/>
      <w:pPr>
        <w:ind w:hanging="360" w:left="927"/>
      </w:pPr>
      <w:rPr>
        <w:rFonts w:ascii="Symbol" w:hAnsi="Symbol"/>
      </w:rPr>
    </w:lvl>
    <w:lvl w:ilvl="1" w:tplc="509D96FB">
      <w:start w:val="1"/>
      <w:numFmt w:val="bullet"/>
      <w:suff w:val="tab"/>
      <w:lvlText w:val="o"/>
      <w:lvlJc w:val="left"/>
      <w:pPr>
        <w:ind w:hanging="360" w:left="1647"/>
      </w:pPr>
      <w:rPr>
        <w:rFonts w:ascii="Courier New" w:hAnsi="Courier New"/>
      </w:rPr>
    </w:lvl>
    <w:lvl w:ilvl="2" w:tplc="0CC2E5EA">
      <w:start w:val="1"/>
      <w:numFmt w:val="bullet"/>
      <w:suff w:val="tab"/>
      <w:lvlText w:val=""/>
      <w:lvlJc w:val="left"/>
      <w:pPr>
        <w:ind w:hanging="360" w:left="2367"/>
      </w:pPr>
      <w:rPr>
        <w:rFonts w:ascii="Wingdings" w:hAnsi="Wingdings"/>
      </w:rPr>
    </w:lvl>
    <w:lvl w:ilvl="3" w:tplc="0B4504F3">
      <w:start w:val="1"/>
      <w:numFmt w:val="bullet"/>
      <w:suff w:val="tab"/>
      <w:lvlText w:val=""/>
      <w:lvlJc w:val="left"/>
      <w:pPr>
        <w:ind w:hanging="360" w:left="3087"/>
      </w:pPr>
      <w:rPr>
        <w:rFonts w:ascii="Symbol" w:hAnsi="Symbol"/>
      </w:rPr>
    </w:lvl>
    <w:lvl w:ilvl="4" w:tplc="5D9B3B60">
      <w:start w:val="1"/>
      <w:numFmt w:val="bullet"/>
      <w:suff w:val="tab"/>
      <w:lvlText w:val="o"/>
      <w:lvlJc w:val="left"/>
      <w:pPr>
        <w:ind w:hanging="360" w:left="3807"/>
      </w:pPr>
      <w:rPr>
        <w:rFonts w:ascii="Courier New" w:hAnsi="Courier New"/>
      </w:rPr>
    </w:lvl>
    <w:lvl w:ilvl="5" w:tplc="59B5EFA1">
      <w:start w:val="1"/>
      <w:numFmt w:val="bullet"/>
      <w:suff w:val="tab"/>
      <w:lvlText w:val=""/>
      <w:lvlJc w:val="left"/>
      <w:pPr>
        <w:ind w:hanging="360" w:left="4527"/>
      </w:pPr>
      <w:rPr>
        <w:rFonts w:ascii="Wingdings" w:hAnsi="Wingdings"/>
      </w:rPr>
    </w:lvl>
    <w:lvl w:ilvl="6" w:tplc="09A18295">
      <w:start w:val="1"/>
      <w:numFmt w:val="bullet"/>
      <w:suff w:val="tab"/>
      <w:lvlText w:val=""/>
      <w:lvlJc w:val="left"/>
      <w:pPr>
        <w:ind w:hanging="360" w:left="5247"/>
      </w:pPr>
      <w:rPr>
        <w:rFonts w:ascii="Symbol" w:hAnsi="Symbol"/>
      </w:rPr>
    </w:lvl>
    <w:lvl w:ilvl="7" w:tplc="1A654D54">
      <w:start w:val="1"/>
      <w:numFmt w:val="bullet"/>
      <w:suff w:val="tab"/>
      <w:lvlText w:val="o"/>
      <w:lvlJc w:val="left"/>
      <w:pPr>
        <w:ind w:hanging="360" w:left="5967"/>
      </w:pPr>
      <w:rPr>
        <w:rFonts w:ascii="Courier New" w:hAnsi="Courier New"/>
      </w:rPr>
    </w:lvl>
    <w:lvl w:ilvl="8" w:tplc="1DD11307">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5980484">
      <w:start w:val="0"/>
      <w:numFmt w:val="bullet"/>
      <w:suff w:val="tab"/>
      <w:lvlText w:val="-"/>
      <w:lvlJc w:val="left"/>
      <w:pPr>
        <w:ind w:hanging="360" w:left="720"/>
        <w:tabs>
          <w:tab w:val="left" w:pos="720" w:leader="none"/>
        </w:tabs>
      </w:pPr>
      <w:rPr>
        <w:rFonts w:ascii="Times New Roman" w:hAnsi="Times New Roman"/>
      </w:rPr>
    </w:lvl>
    <w:lvl w:ilvl="1" w:tplc="3736A930">
      <w:start w:val="1"/>
      <w:numFmt w:val="bullet"/>
      <w:suff w:val="tab"/>
      <w:lvlText w:val="o"/>
      <w:lvlJc w:val="left"/>
      <w:pPr>
        <w:ind w:hanging="360" w:left="1440"/>
        <w:tabs>
          <w:tab w:val="left" w:pos="1440" w:leader="none"/>
        </w:tabs>
      </w:pPr>
      <w:rPr>
        <w:rFonts w:ascii="Courier New" w:hAnsi="Courier New"/>
      </w:rPr>
    </w:lvl>
    <w:lvl w:ilvl="2" w:tplc="4428B4B6">
      <w:start w:val="1"/>
      <w:numFmt w:val="bullet"/>
      <w:suff w:val="tab"/>
      <w:lvlText w:val=""/>
      <w:lvlJc w:val="left"/>
      <w:pPr>
        <w:ind w:hanging="360" w:left="2160"/>
        <w:tabs>
          <w:tab w:val="left" w:pos="2160" w:leader="none"/>
        </w:tabs>
      </w:pPr>
      <w:rPr>
        <w:rFonts w:ascii="Wingdings" w:hAnsi="Wingdings"/>
      </w:rPr>
    </w:lvl>
    <w:lvl w:ilvl="3" w:tplc="70E2460D">
      <w:start w:val="1"/>
      <w:numFmt w:val="bullet"/>
      <w:suff w:val="tab"/>
      <w:lvlText w:val=""/>
      <w:lvlJc w:val="left"/>
      <w:pPr>
        <w:ind w:hanging="360" w:left="2880"/>
        <w:tabs>
          <w:tab w:val="left" w:pos="2880" w:leader="none"/>
        </w:tabs>
      </w:pPr>
      <w:rPr>
        <w:rFonts w:ascii="Symbol" w:hAnsi="Symbol"/>
      </w:rPr>
    </w:lvl>
    <w:lvl w:ilvl="4" w:tplc="53333583">
      <w:start w:val="1"/>
      <w:numFmt w:val="bullet"/>
      <w:suff w:val="tab"/>
      <w:lvlText w:val="o"/>
      <w:lvlJc w:val="left"/>
      <w:pPr>
        <w:ind w:hanging="360" w:left="3600"/>
        <w:tabs>
          <w:tab w:val="left" w:pos="3600" w:leader="none"/>
        </w:tabs>
      </w:pPr>
      <w:rPr>
        <w:rFonts w:ascii="Courier New" w:hAnsi="Courier New"/>
      </w:rPr>
    </w:lvl>
    <w:lvl w:ilvl="5" w:tplc="746BFA31">
      <w:start w:val="1"/>
      <w:numFmt w:val="bullet"/>
      <w:suff w:val="tab"/>
      <w:lvlText w:val=""/>
      <w:lvlJc w:val="left"/>
      <w:pPr>
        <w:ind w:hanging="360" w:left="4320"/>
        <w:tabs>
          <w:tab w:val="left" w:pos="4320" w:leader="none"/>
        </w:tabs>
      </w:pPr>
      <w:rPr>
        <w:rFonts w:ascii="Wingdings" w:hAnsi="Wingdings"/>
      </w:rPr>
    </w:lvl>
    <w:lvl w:ilvl="6" w:tplc="2BCC58FC">
      <w:start w:val="1"/>
      <w:numFmt w:val="bullet"/>
      <w:suff w:val="tab"/>
      <w:lvlText w:val=""/>
      <w:lvlJc w:val="left"/>
      <w:pPr>
        <w:ind w:hanging="360" w:left="5040"/>
        <w:tabs>
          <w:tab w:val="left" w:pos="5040" w:leader="none"/>
        </w:tabs>
      </w:pPr>
      <w:rPr>
        <w:rFonts w:ascii="Symbol" w:hAnsi="Symbol"/>
      </w:rPr>
    </w:lvl>
    <w:lvl w:ilvl="7" w:tplc="7A382F5E">
      <w:start w:val="1"/>
      <w:numFmt w:val="bullet"/>
      <w:suff w:val="tab"/>
      <w:lvlText w:val="o"/>
      <w:lvlJc w:val="left"/>
      <w:pPr>
        <w:ind w:hanging="360" w:left="5760"/>
        <w:tabs>
          <w:tab w:val="left" w:pos="5760" w:leader="none"/>
        </w:tabs>
      </w:pPr>
      <w:rPr>
        <w:rFonts w:ascii="Courier New" w:hAnsi="Courier New"/>
      </w:rPr>
    </w:lvl>
    <w:lvl w:ilvl="8" w:tplc="192CD9C2">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5D59E74">
      <w:start w:val="1"/>
      <w:numFmt w:val="bullet"/>
      <w:suff w:val="tab"/>
      <w:lvlText w:val=""/>
      <w:lvlJc w:val="left"/>
      <w:pPr>
        <w:ind w:hanging="360" w:left="720"/>
        <w:tabs>
          <w:tab w:val="left" w:pos="720" w:leader="none"/>
        </w:tabs>
      </w:pPr>
      <w:rPr>
        <w:rFonts w:ascii="Symbol" w:hAnsi="Symbol"/>
      </w:rPr>
    </w:lvl>
    <w:lvl w:ilvl="1" w:tplc="354A4BEF">
      <w:start w:val="1"/>
      <w:numFmt w:val="bullet"/>
      <w:suff w:val="tab"/>
      <w:lvlText w:val="o"/>
      <w:lvlJc w:val="left"/>
      <w:pPr>
        <w:ind w:hanging="360" w:left="1440"/>
        <w:tabs>
          <w:tab w:val="left" w:pos="1440" w:leader="none"/>
        </w:tabs>
      </w:pPr>
      <w:rPr>
        <w:rFonts w:ascii="Courier New" w:hAnsi="Courier New"/>
      </w:rPr>
    </w:lvl>
    <w:lvl w:ilvl="2" w:tplc="67DBF875">
      <w:start w:val="1"/>
      <w:numFmt w:val="bullet"/>
      <w:suff w:val="tab"/>
      <w:lvlText w:val=""/>
      <w:lvlJc w:val="left"/>
      <w:pPr>
        <w:ind w:hanging="360" w:left="2160"/>
        <w:tabs>
          <w:tab w:val="left" w:pos="2160" w:leader="none"/>
        </w:tabs>
      </w:pPr>
      <w:rPr>
        <w:rFonts w:ascii="Wingdings" w:hAnsi="Wingdings"/>
      </w:rPr>
    </w:lvl>
    <w:lvl w:ilvl="3" w:tplc="00E8EDEA">
      <w:start w:val="1"/>
      <w:numFmt w:val="bullet"/>
      <w:suff w:val="tab"/>
      <w:lvlText w:val=""/>
      <w:lvlJc w:val="left"/>
      <w:pPr>
        <w:ind w:hanging="360" w:left="2880"/>
        <w:tabs>
          <w:tab w:val="left" w:pos="2880" w:leader="none"/>
        </w:tabs>
      </w:pPr>
      <w:rPr>
        <w:rFonts w:ascii="Symbol" w:hAnsi="Symbol"/>
      </w:rPr>
    </w:lvl>
    <w:lvl w:ilvl="4" w:tplc="6BE3D957">
      <w:start w:val="1"/>
      <w:numFmt w:val="bullet"/>
      <w:suff w:val="tab"/>
      <w:lvlText w:val="o"/>
      <w:lvlJc w:val="left"/>
      <w:pPr>
        <w:ind w:hanging="360" w:left="3600"/>
        <w:tabs>
          <w:tab w:val="left" w:pos="3600" w:leader="none"/>
        </w:tabs>
      </w:pPr>
      <w:rPr>
        <w:rFonts w:ascii="Courier New" w:hAnsi="Courier New"/>
      </w:rPr>
    </w:lvl>
    <w:lvl w:ilvl="5" w:tplc="4CC0B0A6">
      <w:start w:val="1"/>
      <w:numFmt w:val="bullet"/>
      <w:suff w:val="tab"/>
      <w:lvlText w:val=""/>
      <w:lvlJc w:val="left"/>
      <w:pPr>
        <w:ind w:hanging="360" w:left="4320"/>
        <w:tabs>
          <w:tab w:val="left" w:pos="4320" w:leader="none"/>
        </w:tabs>
      </w:pPr>
      <w:rPr>
        <w:rFonts w:ascii="Wingdings" w:hAnsi="Wingdings"/>
      </w:rPr>
    </w:lvl>
    <w:lvl w:ilvl="6" w:tplc="0E1E68A3">
      <w:start w:val="1"/>
      <w:numFmt w:val="bullet"/>
      <w:suff w:val="tab"/>
      <w:lvlText w:val=""/>
      <w:lvlJc w:val="left"/>
      <w:pPr>
        <w:ind w:hanging="360" w:left="5040"/>
        <w:tabs>
          <w:tab w:val="left" w:pos="5040" w:leader="none"/>
        </w:tabs>
      </w:pPr>
      <w:rPr>
        <w:rFonts w:ascii="Symbol" w:hAnsi="Symbol"/>
      </w:rPr>
    </w:lvl>
    <w:lvl w:ilvl="7" w:tplc="5C4ED790">
      <w:start w:val="1"/>
      <w:numFmt w:val="bullet"/>
      <w:suff w:val="tab"/>
      <w:lvlText w:val="o"/>
      <w:lvlJc w:val="left"/>
      <w:pPr>
        <w:ind w:hanging="360" w:left="5760"/>
        <w:tabs>
          <w:tab w:val="left" w:pos="5760" w:leader="none"/>
        </w:tabs>
      </w:pPr>
      <w:rPr>
        <w:rFonts w:ascii="Courier New" w:hAnsi="Courier New"/>
      </w:rPr>
    </w:lvl>
    <w:lvl w:ilvl="8" w:tplc="47BBD37D">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77AB37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2012-09-13T15:23:00Z</dcterms:created>
  <cp:lastModifiedBy>Ethan Puglia</cp:lastModifiedBy>
  <cp:lastPrinted>2012-07-05T16:35:00Z</cp:lastPrinted>
  <dcterms:modified xsi:type="dcterms:W3CDTF">2019-03-28T17:33:04Z</dcterms:modified>
  <cp:revision>7</cp:revision>
  <dc:title>PROYECTO DE ORDENANZA VIOLENCIA FAMILIAR</dc:title>
</cp:coreProperties>
</file>