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BF3A886" Type="http://schemas.openxmlformats.org/officeDocument/2006/relationships/officeDocument" Target="/word/document.xml" /><Relationship Id="coreR4BF3A88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9360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Las Ordenanzas Nº 8017 y 8361;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por Ordenanza Nº 8017 se estableció una condonación de intereses equivalentes al cuarenta por ciento de los intereses resarcitorios devengados hasta el 31/12/2007, en caso de pago de contado, y de porcentajes menores si se acogía el moroso al pago en cuotas, estableciéndose como fecha de vigencia de dicha ordenanza hasta el día 31/12/2008;</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dicha Ordenanza implica una moratoria al beneficiar a los contribuyentes en mora con una quita significativa de intereses, bajo condición de pago;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posteriormente, y por Ordenanza Nº 8361, se  estableció el carácter permanente de esta moratoria, por contribuciones adeudadas hasta el último día del ejercicio fiscal anterior al acogimiento;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esta normativa generó un incentivo legal de incumplimiento, que a la fecha se ve más recompensado por el proceso  inflacionario en el que está ingresando el país, con grave deterioro del erario municipal que debe atender los servicios y obras en beneficio de la ciudad a valores que se incrementan día a día;</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por ello es recomendable derogar ambas ordenanzas, manteniendo los efectos jurídicos de pagos efectuados durante su vigencia;</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right"/>
        <w:rPr>
          <w:rStyle w:val="C3"/>
          <w:rFonts w:ascii="Courier New" w:hAnsi="Courier New"/>
        </w:rPr>
      </w:pPr>
      <w:r>
        <w:rPr>
          <w:rStyle w:val="C3"/>
          <w:rFonts w:ascii="Courier New" w:hAnsi="Courier New"/>
        </w:rPr>
        <w:t>...///</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...///2.-</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evaluado el proyecto de Ordenanza por Comisión de Hacienda, se considera oportuna la derogación de las Ordenanzas mencionadas, pero se cree conveniente modificar la Ordenanza General Impositiva Nº 3873 en su artículo 32 donde se regula la forma de otorgar facilidades de pago;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se cree conveniente facultar al Departamento Ejecutivo a otorgar planes de pagos de hasta doce cuotas sólo a aquellos contribuyentes que mediante relevamiento socioeconómico acrediten su imposibilidad de abonar la deuda de contado;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analizado el Proyecto de Ordenanza por  Comisión de Hacienda, la misma emite despacho aprobando en general y en particular con modificaciones el mencionado proyecto, despacho aprobado por unanimidad en Sesión Ordinaria del día 19 de Septiembre de 2012.</w:t>
      </w:r>
    </w:p>
    <w:p>
      <w:pPr>
        <w:pStyle w:val="P11"/>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DERÓGANSE</w:t>
      </w:r>
      <w:r>
        <w:rPr>
          <w:rStyle w:val="C3"/>
          <w:rFonts w:ascii="Courier New" w:hAnsi="Courier New"/>
          <w:b w:val="1"/>
        </w:rPr>
        <w:t xml:space="preserve"> </w:t>
      </w:r>
      <w:r>
        <w:rPr>
          <w:rStyle w:val="C3"/>
          <w:rFonts w:ascii="Courier New" w:hAnsi="Courier New"/>
        </w:rPr>
        <w:t>las Ordenanzas Nº 8017 y 8361.-</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MANTÉNGASE </w:t>
      </w:r>
      <w:r>
        <w:rPr>
          <w:rStyle w:val="C3"/>
          <w:rFonts w:ascii="Courier New" w:hAnsi="Courier New"/>
        </w:rPr>
        <w:t>el efecto jurídico de los acuerdos de pago celebrados bajo las vigencias de las ordenanzas mencionadas y conforme sus disposiciones.-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rPr>
        <w:t xml:space="preserve">: </w:t>
      </w:r>
      <w:r>
        <w:rPr>
          <w:rStyle w:val="C3"/>
          <w:rFonts w:ascii="Courier New" w:hAnsi="Courier New"/>
          <w:b w:val="1"/>
        </w:rPr>
        <w:t>FACÚLTASE</w:t>
      </w:r>
      <w:r>
        <w:rPr>
          <w:rStyle w:val="C3"/>
          <w:rFonts w:ascii="Courier New" w:hAnsi="Courier New"/>
        </w:rPr>
        <w:t xml:space="preserve"> al Departamento Ejecutivo para acordar facilidades de pago de deudas tributarias vencidas en hasta doce (12) cuotas, con las garantías que estime conveniente, a aquellos contribuyentes que, previo relevamiento socioeconómico, se encuentren en imposibilidad de realizar el pago de la deuda de contado</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FACULTASE </w:t>
      </w:r>
      <w:r>
        <w:rPr>
          <w:rStyle w:val="C3"/>
          <w:rFonts w:ascii="Courier New" w:hAnsi="Courier New"/>
        </w:rPr>
        <w:t>al</w:t>
      </w:r>
      <w:r>
        <w:rPr>
          <w:rStyle w:val="C3"/>
          <w:rFonts w:ascii="Courier New" w:hAnsi="Courier New"/>
          <w:b w:val="1"/>
        </w:rPr>
        <w:t xml:space="preserve"> </w:t>
      </w:r>
      <w:r>
        <w:rPr>
          <w:rStyle w:val="C3"/>
          <w:rFonts w:ascii="Courier New" w:hAnsi="Courier New"/>
        </w:rPr>
        <w:t>Departamento Ejecutivo para determinar la tasa de interés de financiación.-</w:t>
      </w:r>
    </w:p>
    <w:p>
      <w:pPr>
        <w:ind w:hanging="426" w:left="426"/>
        <w:jc w:val="both"/>
        <w:rPr>
          <w:rStyle w:val="C3"/>
          <w:rFonts w:ascii="Courier New" w:hAnsi="Courier New"/>
          <w:b w:val="1"/>
        </w:rPr>
      </w:pPr>
    </w:p>
    <w:p>
      <w:pPr>
        <w:ind w:hanging="426" w:left="426"/>
        <w:jc w:val="both"/>
        <w:rPr>
          <w:rStyle w:val="C3"/>
          <w:rFonts w:ascii="Courier New" w:hAnsi="Courier New"/>
          <w:b w:val="1"/>
          <w:u w:val="single"/>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Art.5</w:t>
      </w:r>
      <w:r>
        <w:rPr>
          <w:rStyle w:val="C3"/>
          <w:rFonts w:ascii="Courier New" w:hAnsi="Courier New"/>
          <w:b w:val="1"/>
        </w:rPr>
        <w:t xml:space="preserve">: </w:t>
      </w:r>
      <w:r>
        <w:rPr>
          <w:rStyle w:val="C3"/>
          <w:rFonts w:ascii="Courier New" w:hAnsi="Courier New"/>
          <w:b w:val="1"/>
        </w:rPr>
        <w:t xml:space="preserve">EL </w:t>
      </w:r>
      <w:r>
        <w:rPr>
          <w:rStyle w:val="C3"/>
          <w:rFonts w:ascii="Courier New" w:hAnsi="Courier New"/>
        </w:rPr>
        <w:t>plan de pagos se mantendrá vigente mientras el contribuyente mantenga al día las cuotas actuales de la tasa correspondiente y no se atrase en dos cuotas consecutivas o tres alternadas del plan concedido.-</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DIECINUEVE DÍAS DEL MES DE SEPTIEMBRE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3517458F">
      <w:start w:val="0"/>
      <w:numFmt w:val="bullet"/>
      <w:suff w:val="tab"/>
      <w:lvlText w:val=""/>
      <w:lvlJc w:val="left"/>
      <w:pPr>
        <w:ind w:hanging="360" w:left="927"/>
      </w:pPr>
      <w:rPr>
        <w:rFonts w:ascii="Symbol" w:hAnsi="Symbol"/>
      </w:rPr>
    </w:lvl>
    <w:lvl w:ilvl="1" w:tplc="43AF60D3">
      <w:start w:val="1"/>
      <w:numFmt w:val="bullet"/>
      <w:suff w:val="tab"/>
      <w:lvlText w:val="o"/>
      <w:lvlJc w:val="left"/>
      <w:pPr>
        <w:ind w:hanging="360" w:left="1647"/>
      </w:pPr>
      <w:rPr>
        <w:rFonts w:ascii="Courier New" w:hAnsi="Courier New"/>
      </w:rPr>
    </w:lvl>
    <w:lvl w:ilvl="2" w:tplc="14A9BF3D">
      <w:start w:val="1"/>
      <w:numFmt w:val="bullet"/>
      <w:suff w:val="tab"/>
      <w:lvlText w:val=""/>
      <w:lvlJc w:val="left"/>
      <w:pPr>
        <w:ind w:hanging="360" w:left="2367"/>
      </w:pPr>
      <w:rPr>
        <w:rFonts w:ascii="Wingdings" w:hAnsi="Wingdings"/>
      </w:rPr>
    </w:lvl>
    <w:lvl w:ilvl="3" w:tplc="0E0E9518">
      <w:start w:val="1"/>
      <w:numFmt w:val="bullet"/>
      <w:suff w:val="tab"/>
      <w:lvlText w:val=""/>
      <w:lvlJc w:val="left"/>
      <w:pPr>
        <w:ind w:hanging="360" w:left="3087"/>
      </w:pPr>
      <w:rPr>
        <w:rFonts w:ascii="Symbol" w:hAnsi="Symbol"/>
      </w:rPr>
    </w:lvl>
    <w:lvl w:ilvl="4" w:tplc="5344DCFB">
      <w:start w:val="1"/>
      <w:numFmt w:val="bullet"/>
      <w:suff w:val="tab"/>
      <w:lvlText w:val="o"/>
      <w:lvlJc w:val="left"/>
      <w:pPr>
        <w:ind w:hanging="360" w:left="3807"/>
      </w:pPr>
      <w:rPr>
        <w:rFonts w:ascii="Courier New" w:hAnsi="Courier New"/>
      </w:rPr>
    </w:lvl>
    <w:lvl w:ilvl="5" w:tplc="0AD9C077">
      <w:start w:val="1"/>
      <w:numFmt w:val="bullet"/>
      <w:suff w:val="tab"/>
      <w:lvlText w:val=""/>
      <w:lvlJc w:val="left"/>
      <w:pPr>
        <w:ind w:hanging="360" w:left="4527"/>
      </w:pPr>
      <w:rPr>
        <w:rFonts w:ascii="Wingdings" w:hAnsi="Wingdings"/>
      </w:rPr>
    </w:lvl>
    <w:lvl w:ilvl="6" w:tplc="60B21689">
      <w:start w:val="1"/>
      <w:numFmt w:val="bullet"/>
      <w:suff w:val="tab"/>
      <w:lvlText w:val=""/>
      <w:lvlJc w:val="left"/>
      <w:pPr>
        <w:ind w:hanging="360" w:left="5247"/>
      </w:pPr>
      <w:rPr>
        <w:rFonts w:ascii="Symbol" w:hAnsi="Symbol"/>
      </w:rPr>
    </w:lvl>
    <w:lvl w:ilvl="7" w:tplc="4E0BDA23">
      <w:start w:val="1"/>
      <w:numFmt w:val="bullet"/>
      <w:suff w:val="tab"/>
      <w:lvlText w:val="o"/>
      <w:lvlJc w:val="left"/>
      <w:pPr>
        <w:ind w:hanging="360" w:left="5967"/>
      </w:pPr>
      <w:rPr>
        <w:rFonts w:ascii="Courier New" w:hAnsi="Courier New"/>
      </w:rPr>
    </w:lvl>
    <w:lvl w:ilvl="8" w:tplc="4F2F394A">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2FA7F0E9">
      <w:start w:val="0"/>
      <w:numFmt w:val="bullet"/>
      <w:suff w:val="tab"/>
      <w:lvlText w:val="-"/>
      <w:lvlJc w:val="left"/>
      <w:pPr>
        <w:ind w:hanging="360" w:left="720"/>
        <w:tabs>
          <w:tab w:val="left" w:pos="720" w:leader="none"/>
        </w:tabs>
      </w:pPr>
      <w:rPr>
        <w:rFonts w:ascii="Times New Roman" w:hAnsi="Times New Roman"/>
      </w:rPr>
    </w:lvl>
    <w:lvl w:ilvl="1" w:tplc="3EBF6DE9">
      <w:start w:val="1"/>
      <w:numFmt w:val="bullet"/>
      <w:suff w:val="tab"/>
      <w:lvlText w:val="o"/>
      <w:lvlJc w:val="left"/>
      <w:pPr>
        <w:ind w:hanging="360" w:left="1440"/>
        <w:tabs>
          <w:tab w:val="left" w:pos="1440" w:leader="none"/>
        </w:tabs>
      </w:pPr>
      <w:rPr>
        <w:rFonts w:ascii="Courier New" w:hAnsi="Courier New"/>
      </w:rPr>
    </w:lvl>
    <w:lvl w:ilvl="2" w:tplc="244E5446">
      <w:start w:val="1"/>
      <w:numFmt w:val="bullet"/>
      <w:suff w:val="tab"/>
      <w:lvlText w:val=""/>
      <w:lvlJc w:val="left"/>
      <w:pPr>
        <w:ind w:hanging="360" w:left="2160"/>
        <w:tabs>
          <w:tab w:val="left" w:pos="2160" w:leader="none"/>
        </w:tabs>
      </w:pPr>
      <w:rPr>
        <w:rFonts w:ascii="Wingdings" w:hAnsi="Wingdings"/>
      </w:rPr>
    </w:lvl>
    <w:lvl w:ilvl="3" w:tplc="08666C0A">
      <w:start w:val="1"/>
      <w:numFmt w:val="bullet"/>
      <w:suff w:val="tab"/>
      <w:lvlText w:val=""/>
      <w:lvlJc w:val="left"/>
      <w:pPr>
        <w:ind w:hanging="360" w:left="2880"/>
        <w:tabs>
          <w:tab w:val="left" w:pos="2880" w:leader="none"/>
        </w:tabs>
      </w:pPr>
      <w:rPr>
        <w:rFonts w:ascii="Symbol" w:hAnsi="Symbol"/>
      </w:rPr>
    </w:lvl>
    <w:lvl w:ilvl="4" w:tplc="65984123">
      <w:start w:val="1"/>
      <w:numFmt w:val="bullet"/>
      <w:suff w:val="tab"/>
      <w:lvlText w:val="o"/>
      <w:lvlJc w:val="left"/>
      <w:pPr>
        <w:ind w:hanging="360" w:left="3600"/>
        <w:tabs>
          <w:tab w:val="left" w:pos="3600" w:leader="none"/>
        </w:tabs>
      </w:pPr>
      <w:rPr>
        <w:rFonts w:ascii="Courier New" w:hAnsi="Courier New"/>
      </w:rPr>
    </w:lvl>
    <w:lvl w:ilvl="5" w:tplc="4B78A3CC">
      <w:start w:val="1"/>
      <w:numFmt w:val="bullet"/>
      <w:suff w:val="tab"/>
      <w:lvlText w:val=""/>
      <w:lvlJc w:val="left"/>
      <w:pPr>
        <w:ind w:hanging="360" w:left="4320"/>
        <w:tabs>
          <w:tab w:val="left" w:pos="4320" w:leader="none"/>
        </w:tabs>
      </w:pPr>
      <w:rPr>
        <w:rFonts w:ascii="Wingdings" w:hAnsi="Wingdings"/>
      </w:rPr>
    </w:lvl>
    <w:lvl w:ilvl="6" w:tplc="6D73B5B5">
      <w:start w:val="1"/>
      <w:numFmt w:val="bullet"/>
      <w:suff w:val="tab"/>
      <w:lvlText w:val=""/>
      <w:lvlJc w:val="left"/>
      <w:pPr>
        <w:ind w:hanging="360" w:left="5040"/>
        <w:tabs>
          <w:tab w:val="left" w:pos="5040" w:leader="none"/>
        </w:tabs>
      </w:pPr>
      <w:rPr>
        <w:rFonts w:ascii="Symbol" w:hAnsi="Symbol"/>
      </w:rPr>
    </w:lvl>
    <w:lvl w:ilvl="7" w:tplc="73B55986">
      <w:start w:val="1"/>
      <w:numFmt w:val="bullet"/>
      <w:suff w:val="tab"/>
      <w:lvlText w:val="o"/>
      <w:lvlJc w:val="left"/>
      <w:pPr>
        <w:ind w:hanging="360" w:left="5760"/>
        <w:tabs>
          <w:tab w:val="left" w:pos="5760" w:leader="none"/>
        </w:tabs>
      </w:pPr>
      <w:rPr>
        <w:rFonts w:ascii="Courier New" w:hAnsi="Courier New"/>
      </w:rPr>
    </w:lvl>
    <w:lvl w:ilvl="8" w:tplc="7A21D114">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11FF4258">
      <w:start w:val="1"/>
      <w:numFmt w:val="bullet"/>
      <w:suff w:val="tab"/>
      <w:lvlText w:val=""/>
      <w:lvlJc w:val="left"/>
      <w:pPr>
        <w:ind w:hanging="360" w:left="720"/>
        <w:tabs>
          <w:tab w:val="left" w:pos="720" w:leader="none"/>
        </w:tabs>
      </w:pPr>
      <w:rPr>
        <w:rFonts w:ascii="Symbol" w:hAnsi="Symbol"/>
      </w:rPr>
    </w:lvl>
    <w:lvl w:ilvl="1" w:tplc="67DBDF40">
      <w:start w:val="1"/>
      <w:numFmt w:val="bullet"/>
      <w:suff w:val="tab"/>
      <w:lvlText w:val="o"/>
      <w:lvlJc w:val="left"/>
      <w:pPr>
        <w:ind w:hanging="360" w:left="1440"/>
        <w:tabs>
          <w:tab w:val="left" w:pos="1440" w:leader="none"/>
        </w:tabs>
      </w:pPr>
      <w:rPr>
        <w:rFonts w:ascii="Courier New" w:hAnsi="Courier New"/>
      </w:rPr>
    </w:lvl>
    <w:lvl w:ilvl="2" w:tplc="0CBA7084">
      <w:start w:val="1"/>
      <w:numFmt w:val="bullet"/>
      <w:suff w:val="tab"/>
      <w:lvlText w:val=""/>
      <w:lvlJc w:val="left"/>
      <w:pPr>
        <w:ind w:hanging="360" w:left="2160"/>
        <w:tabs>
          <w:tab w:val="left" w:pos="2160" w:leader="none"/>
        </w:tabs>
      </w:pPr>
      <w:rPr>
        <w:rFonts w:ascii="Wingdings" w:hAnsi="Wingdings"/>
      </w:rPr>
    </w:lvl>
    <w:lvl w:ilvl="3" w:tplc="6AB0A1E4">
      <w:start w:val="1"/>
      <w:numFmt w:val="bullet"/>
      <w:suff w:val="tab"/>
      <w:lvlText w:val=""/>
      <w:lvlJc w:val="left"/>
      <w:pPr>
        <w:ind w:hanging="360" w:left="2880"/>
        <w:tabs>
          <w:tab w:val="left" w:pos="2880" w:leader="none"/>
        </w:tabs>
      </w:pPr>
      <w:rPr>
        <w:rFonts w:ascii="Symbol" w:hAnsi="Symbol"/>
      </w:rPr>
    </w:lvl>
    <w:lvl w:ilvl="4" w:tplc="794A06ED">
      <w:start w:val="1"/>
      <w:numFmt w:val="bullet"/>
      <w:suff w:val="tab"/>
      <w:lvlText w:val="o"/>
      <w:lvlJc w:val="left"/>
      <w:pPr>
        <w:ind w:hanging="360" w:left="3600"/>
        <w:tabs>
          <w:tab w:val="left" w:pos="3600" w:leader="none"/>
        </w:tabs>
      </w:pPr>
      <w:rPr>
        <w:rFonts w:ascii="Courier New" w:hAnsi="Courier New"/>
      </w:rPr>
    </w:lvl>
    <w:lvl w:ilvl="5" w:tplc="39583E33">
      <w:start w:val="1"/>
      <w:numFmt w:val="bullet"/>
      <w:suff w:val="tab"/>
      <w:lvlText w:val=""/>
      <w:lvlJc w:val="left"/>
      <w:pPr>
        <w:ind w:hanging="360" w:left="4320"/>
        <w:tabs>
          <w:tab w:val="left" w:pos="4320" w:leader="none"/>
        </w:tabs>
      </w:pPr>
      <w:rPr>
        <w:rFonts w:ascii="Wingdings" w:hAnsi="Wingdings"/>
      </w:rPr>
    </w:lvl>
    <w:lvl w:ilvl="6" w:tplc="7203EC21">
      <w:start w:val="1"/>
      <w:numFmt w:val="bullet"/>
      <w:suff w:val="tab"/>
      <w:lvlText w:val=""/>
      <w:lvlJc w:val="left"/>
      <w:pPr>
        <w:ind w:hanging="360" w:left="5040"/>
        <w:tabs>
          <w:tab w:val="left" w:pos="5040" w:leader="none"/>
        </w:tabs>
      </w:pPr>
      <w:rPr>
        <w:rFonts w:ascii="Symbol" w:hAnsi="Symbol"/>
      </w:rPr>
    </w:lvl>
    <w:lvl w:ilvl="7" w:tplc="571733B9">
      <w:start w:val="1"/>
      <w:numFmt w:val="bullet"/>
      <w:suff w:val="tab"/>
      <w:lvlText w:val="o"/>
      <w:lvlJc w:val="left"/>
      <w:pPr>
        <w:ind w:hanging="360" w:left="5760"/>
        <w:tabs>
          <w:tab w:val="left" w:pos="5760" w:leader="none"/>
        </w:tabs>
      </w:pPr>
      <w:rPr>
        <w:rFonts w:ascii="Courier New" w:hAnsi="Courier New"/>
      </w:rPr>
    </w:lvl>
    <w:lvl w:ilvl="8" w:tplc="45514504">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2CB14D8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2012-09-20T11:40:00Z</dcterms:created>
  <cp:lastModifiedBy>Ethan Puglia</cp:lastModifiedBy>
  <cp:lastPrinted>2012-07-05T16:35:00Z</cp:lastPrinted>
  <dcterms:modified xsi:type="dcterms:W3CDTF">2019-03-28T17:33:04Z</dcterms:modified>
  <cp:revision>8</cp:revision>
  <dc:title>PROYECTO DE ORDENANZA VIOLENCIA FAMILIAR</dc:title>
</cp:coreProperties>
</file>