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3BBC45C" Type="http://schemas.openxmlformats.org/officeDocument/2006/relationships/officeDocument" Target="/word/document.xml" /><Relationship Id="coreR53BBC45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9363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El Expediente Nº 702/2005 y Expediente Acumulado Nº 338/2012, por los que se tramita la aprobación de Loteo;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a Fojas 29 del Expediente acumulado Nº 338/2012, los Titulares Registrales, Galo Juan Pablo Cámara, D.N.I. Nº 16.614.923 y Guillermo Martín Ruarte D.N.I. Nº 14.177.129, solicitan aprobación de un loteo a practicarse sobre el Lote 42 de la Manzana 184, con designación Catastral: Departamento 31 Pedanía 06 Pueblo 01 Circunscripción 04 Sección 01 Manzana 184 Parcela 042, inscripto en el Registro General de Propiedades de la Provincia de Córdoba bajo la Matrícula Nº 634.450, todo conforme a Plano de Loteo, que se adjunta a Fojas 34 del Expediente  Nº 702/2005 y Expediente Acumulado Nº 338/2012;</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Fojas 41, se adjunta Certificado de Factibilidad de Agua, otorgado por la Sub Secretaría de Recursos Hídricos de la Provincia de Córdoba;</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Fojas 42, se adjunta nota de la Empresa Provincial de Energía de Córdoba, Delegación Zona H, donde se habilita el servicio de red domiciliaria de energía eléctrica;</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a Fojas 43, se adjunta Cédula de Notificación, emitida por la Subsecretaría de Recursos Hídricos, aprobando las Obras Hidráulicas para la regulación de los caudales pluviales excedentes, donde se ordena el cambio  de  destino de la  Parcela 51 de la Manzana 184; </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right"/>
        <w:rPr>
          <w:rStyle w:val="C3"/>
          <w:rFonts w:ascii="Courier New" w:hAnsi="Courier New"/>
        </w:rPr>
      </w:pPr>
      <w:r>
        <w:rPr>
          <w:rStyle w:val="C3"/>
          <w:rFonts w:ascii="Courier New" w:hAnsi="Courier New"/>
        </w:rPr>
        <w:t>...///</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...///2.-</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 xml:space="preserve">Parcela 4 de la Manzana 197 y Parcela 13 de la Manzana 196, las que pasan a ser: Espacios Verdes Nº1 de la Manzana 184; Espacio Verde Nº2 y Reserva, ambos de la Manzana Nº 197  y Espacio Verde Nº3 de la Manzana 196 respectivamente;</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a Fojas 44, se adjunta nota de los Titulares ofreciendo en donación las superficies destinadas a Espacios Verdes, Reserva y  Calles, conforme al siguiente detalle: Espacio Verde Nº 1 de la Manzana 184, con una Superficie de 547,04 m2; Espacio Verde Nº 2 de la Manzana Nº 197, con una superficie de 3.871,37 m2;  Espacio para Reserva Municipal de la Manzana Nº 197, con una Superficie de 930,50 m2, Espacio Verde Nº 3 de la Manzana 196, con una Superficie de 506,76 m2 y una Superficie de 10.711,03 m2 destinada a calles;</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a Fojas 45, obra informe  de Obras Privadas, informando que, de la documentación presentada en el Expediente 702/2005 y Expediente Acumulado Nº 338/2012, corresponde la aprobación del Loteo;</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Fojas 47 a 57, se adjunta Pliego de Especificaciones Técnicas Particulares y Designación de las Obras y Plano Nº 2 de las Obras Hidráulicas necesarias a ejecutar, para la regulación de los caudales pluviales excedentes, conforme a aprobación efectuada por la Subsecretaría de Obras y Servicios Públicos de la Provincia de Córdoba;</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analizado el Expediente de referencia por la Comisión de Obras y Servicios Públicos, la misma emite despacho favorable, aprobado por unanimidad en Sesión Ordinaria del día 19 de Septiembre de 2012.</w:t>
      </w:r>
    </w:p>
    <w:p>
      <w:pPr>
        <w:pStyle w:val="P11"/>
        <w:rPr>
          <w:rStyle w:val="C3"/>
        </w:rPr>
      </w:pPr>
    </w:p>
    <w:p>
      <w:pPr>
        <w:pStyle w:val="P11"/>
        <w:jc w:val="right"/>
      </w:pPr>
      <w:r>
        <w:t>...///</w:t>
      </w:r>
    </w:p>
    <w:p>
      <w:pPr>
        <w:pStyle w:val="P11"/>
      </w:pPr>
    </w:p>
    <w:p>
      <w:pPr>
        <w:pStyle w:val="P11"/>
      </w:pPr>
    </w:p>
    <w:p>
      <w:pPr>
        <w:pStyle w:val="P11"/>
      </w:pPr>
    </w:p>
    <w:p>
      <w:pPr>
        <w:pStyle w:val="P11"/>
      </w:pPr>
    </w:p>
    <w:p>
      <w:pPr>
        <w:pStyle w:val="P11"/>
      </w:pPr>
    </w:p>
    <w:p>
      <w:pPr>
        <w:pStyle w:val="P11"/>
      </w:pPr>
    </w:p>
    <w:p>
      <w:pPr>
        <w:pStyle w:val="P11"/>
      </w:pPr>
      <w:r>
        <w:t>...///3.-</w:t>
      </w: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APRU</w:t>
      </w:r>
      <w:r>
        <w:rPr>
          <w:rStyle w:val="C3"/>
          <w:rFonts w:ascii="Courier New" w:hAnsi="Courier New"/>
          <w:b w:val="1"/>
        </w:rPr>
        <w:t>É</w:t>
      </w:r>
      <w:r>
        <w:rPr>
          <w:rStyle w:val="C3"/>
          <w:rFonts w:ascii="Courier New" w:hAnsi="Courier New"/>
          <w:b w:val="1"/>
        </w:rPr>
        <w:t xml:space="preserve">BASE </w:t>
      </w:r>
      <w:r>
        <w:rPr>
          <w:rStyle w:val="C3"/>
          <w:rFonts w:ascii="Courier New" w:hAnsi="Courier New"/>
        </w:rPr>
        <w:t xml:space="preserve">el Loteo que se practica sobre el Lote 42 de la Manzana 184, con designación Catastral: Departamento 31 Pedanía 06 Pueblo 01 Circunscripción 04 Sección 01 Manzana 184 Parcela 042,  inscripto en el Registro General de Propiedades de la Provincia de Córdoba bajo la Matrícula Nº 634.450 y cuyos Titulares Registrales son: Galo Juan Pablo Cámara, D.N.I. Nº 16.614.923 y Guillermo Martín Ruarte D.N.I. Nº 14.177.129, por el cual se generan las Manzanas Nº 184, Nº 195, Nº 196, Nº 197 y Nº 198 todo conforme a Plano de Loteo que obra a Fojas 34 del Expediente  Nº 702/2005 y Expediente Acumulado Nº 338/2012</w:t>
      </w:r>
      <w:r>
        <w:rPr>
          <w:rStyle w:val="C3"/>
          <w:rFonts w:ascii="Courier New" w:hAnsi="Courier New"/>
          <w:b w:val="1"/>
        </w:rPr>
        <w:t>.</w:t>
      </w: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AC</w:t>
      </w:r>
      <w:r>
        <w:rPr>
          <w:rStyle w:val="C3"/>
          <w:rFonts w:ascii="Courier New" w:hAnsi="Courier New"/>
          <w:b w:val="1"/>
        </w:rPr>
        <w:t>É</w:t>
      </w:r>
      <w:r>
        <w:rPr>
          <w:rStyle w:val="C3"/>
          <w:rFonts w:ascii="Courier New" w:hAnsi="Courier New"/>
          <w:b w:val="1"/>
        </w:rPr>
        <w:t xml:space="preserve">PTESE </w:t>
      </w:r>
      <w:r>
        <w:rPr>
          <w:rStyle w:val="C3"/>
          <w:rFonts w:ascii="Courier New" w:hAnsi="Courier New"/>
        </w:rPr>
        <w:t xml:space="preserve">la donación de los espacios destinados a Espacios Verdes, Reserva Municipal y Calles, conforme al siguiente detalle: Espacio Verde Nº 1 de la Manzana 184, con una Superficie de 547,04 m2; Espacio Verde Nº 2 de la Manzana Nº 197, con una superficie de 3.871,37 m2;  Espacio para Reserva Municipal de la Manzana Nº 197, con una Superficie de 930,50 m2, Espacio Verde Nº 3 de la Manzana 196, con una Superficie de 506,76 m2 y una Superficie de 10.711,03 m2 destinada a calles, todo conforme al Plano de Loteo que obra a Fojas 34 del Expediente  Nº 702/2005 y Expediente Acumulado Nº 338/2012.</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rPr>
        <w:t>VERIFÍ</w:t>
      </w:r>
      <w:r>
        <w:rPr>
          <w:rStyle w:val="C3"/>
          <w:rFonts w:ascii="Courier New" w:hAnsi="Courier New"/>
          <w:b w:val="1"/>
        </w:rPr>
        <w:t xml:space="preserve">QUESE </w:t>
      </w:r>
      <w:r>
        <w:rPr>
          <w:rStyle w:val="C3"/>
          <w:rFonts w:ascii="Courier New" w:hAnsi="Courier New"/>
        </w:rPr>
        <w:t>a través de la Secretaría de Obras y Servicios Públicos, el estricto cumplimiento de la ejecución de las Obras Hidráulicas aprobadas y autorizadas por la Subsecretaría de Recursos Hídricos de la Provincia de Córdoba, conforme a Expediente Nº 0416-43917/05 y según documentación Técnica adjunta a fojas 47 a 57 del Expediente Nº 702/2005 y Expediente Acumulado Nº 338/2012.</w:t>
      </w:r>
    </w:p>
    <w:p>
      <w:pPr>
        <w:ind w:hanging="426" w:left="426"/>
        <w:jc w:val="both"/>
        <w:rPr>
          <w:rStyle w:val="C3"/>
          <w:rFonts w:ascii="Courier New" w:hAnsi="Courier New"/>
          <w:b w:val="1"/>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...///4.-</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EXÍ</w:t>
      </w:r>
      <w:r>
        <w:rPr>
          <w:rStyle w:val="C3"/>
          <w:rFonts w:ascii="Courier New" w:hAnsi="Courier New"/>
          <w:b w:val="1"/>
        </w:rPr>
        <w:t xml:space="preserve">JASE </w:t>
      </w:r>
      <w:r>
        <w:rPr>
          <w:rStyle w:val="C3"/>
          <w:rFonts w:ascii="Courier New" w:hAnsi="Courier New"/>
        </w:rPr>
        <w:t xml:space="preserve">a través de la Secretaría de Obras y Servicios Públicos, la presentación de la Habilitación del Servicio de Aguas y Cloacas, por parte de la COSAG Ltda.  </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Art.5</w:t>
      </w:r>
      <w:r>
        <w:rPr>
          <w:rStyle w:val="C3"/>
          <w:rFonts w:ascii="Courier New" w:hAnsi="Courier New"/>
          <w:b w:val="1"/>
        </w:rPr>
        <w:t xml:space="preserve">: </w:t>
      </w:r>
      <w:r>
        <w:rPr>
          <w:rStyle w:val="C3"/>
          <w:rFonts w:ascii="Courier New" w:hAnsi="Courier New"/>
          <w:b w:val="1"/>
        </w:rPr>
        <w:t xml:space="preserve">LA </w:t>
      </w:r>
      <w:r>
        <w:rPr>
          <w:rStyle w:val="C3"/>
          <w:rFonts w:ascii="Courier New" w:hAnsi="Courier New"/>
        </w:rPr>
        <w:t>presente Ordenanza, tendrá vigencia a partir de la fecha de su promulgación, conforme a lo previsto en el Art. Nº 24 de la Carta Orgánica Municipal.</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Art.6</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DIECINUEVE DÍAS DEL MES DE SEPTIEMBRE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11F21FE5">
      <w:start w:val="0"/>
      <w:numFmt w:val="bullet"/>
      <w:suff w:val="tab"/>
      <w:lvlText w:val=""/>
      <w:lvlJc w:val="left"/>
      <w:pPr>
        <w:ind w:hanging="360" w:left="927"/>
      </w:pPr>
      <w:rPr>
        <w:rFonts w:ascii="Symbol" w:hAnsi="Symbol"/>
      </w:rPr>
    </w:lvl>
    <w:lvl w:ilvl="1" w:tplc="2C130ACC">
      <w:start w:val="1"/>
      <w:numFmt w:val="bullet"/>
      <w:suff w:val="tab"/>
      <w:lvlText w:val="o"/>
      <w:lvlJc w:val="left"/>
      <w:pPr>
        <w:ind w:hanging="360" w:left="1647"/>
      </w:pPr>
      <w:rPr>
        <w:rFonts w:ascii="Courier New" w:hAnsi="Courier New"/>
      </w:rPr>
    </w:lvl>
    <w:lvl w:ilvl="2" w:tplc="57934058">
      <w:start w:val="1"/>
      <w:numFmt w:val="bullet"/>
      <w:suff w:val="tab"/>
      <w:lvlText w:val=""/>
      <w:lvlJc w:val="left"/>
      <w:pPr>
        <w:ind w:hanging="360" w:left="2367"/>
      </w:pPr>
      <w:rPr>
        <w:rFonts w:ascii="Wingdings" w:hAnsi="Wingdings"/>
      </w:rPr>
    </w:lvl>
    <w:lvl w:ilvl="3" w:tplc="13A9DBCA">
      <w:start w:val="1"/>
      <w:numFmt w:val="bullet"/>
      <w:suff w:val="tab"/>
      <w:lvlText w:val=""/>
      <w:lvlJc w:val="left"/>
      <w:pPr>
        <w:ind w:hanging="360" w:left="3087"/>
      </w:pPr>
      <w:rPr>
        <w:rFonts w:ascii="Symbol" w:hAnsi="Symbol"/>
      </w:rPr>
    </w:lvl>
    <w:lvl w:ilvl="4" w:tplc="79319CA0">
      <w:start w:val="1"/>
      <w:numFmt w:val="bullet"/>
      <w:suff w:val="tab"/>
      <w:lvlText w:val="o"/>
      <w:lvlJc w:val="left"/>
      <w:pPr>
        <w:ind w:hanging="360" w:left="3807"/>
      </w:pPr>
      <w:rPr>
        <w:rFonts w:ascii="Courier New" w:hAnsi="Courier New"/>
      </w:rPr>
    </w:lvl>
    <w:lvl w:ilvl="5" w:tplc="0265BFB5">
      <w:start w:val="1"/>
      <w:numFmt w:val="bullet"/>
      <w:suff w:val="tab"/>
      <w:lvlText w:val=""/>
      <w:lvlJc w:val="left"/>
      <w:pPr>
        <w:ind w:hanging="360" w:left="4527"/>
      </w:pPr>
      <w:rPr>
        <w:rFonts w:ascii="Wingdings" w:hAnsi="Wingdings"/>
      </w:rPr>
    </w:lvl>
    <w:lvl w:ilvl="6" w:tplc="46745F0D">
      <w:start w:val="1"/>
      <w:numFmt w:val="bullet"/>
      <w:suff w:val="tab"/>
      <w:lvlText w:val=""/>
      <w:lvlJc w:val="left"/>
      <w:pPr>
        <w:ind w:hanging="360" w:left="5247"/>
      </w:pPr>
      <w:rPr>
        <w:rFonts w:ascii="Symbol" w:hAnsi="Symbol"/>
      </w:rPr>
    </w:lvl>
    <w:lvl w:ilvl="7" w:tplc="3F32DF29">
      <w:start w:val="1"/>
      <w:numFmt w:val="bullet"/>
      <w:suff w:val="tab"/>
      <w:lvlText w:val="o"/>
      <w:lvlJc w:val="left"/>
      <w:pPr>
        <w:ind w:hanging="360" w:left="5967"/>
      </w:pPr>
      <w:rPr>
        <w:rFonts w:ascii="Courier New" w:hAnsi="Courier New"/>
      </w:rPr>
    </w:lvl>
    <w:lvl w:ilvl="8" w:tplc="7EF254C5">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0B240456">
      <w:start w:val="0"/>
      <w:numFmt w:val="bullet"/>
      <w:suff w:val="tab"/>
      <w:lvlText w:val="-"/>
      <w:lvlJc w:val="left"/>
      <w:pPr>
        <w:ind w:hanging="360" w:left="720"/>
        <w:tabs>
          <w:tab w:val="left" w:pos="720" w:leader="none"/>
        </w:tabs>
      </w:pPr>
      <w:rPr>
        <w:rFonts w:ascii="Times New Roman" w:hAnsi="Times New Roman"/>
      </w:rPr>
    </w:lvl>
    <w:lvl w:ilvl="1" w:tplc="670D691F">
      <w:start w:val="1"/>
      <w:numFmt w:val="bullet"/>
      <w:suff w:val="tab"/>
      <w:lvlText w:val="o"/>
      <w:lvlJc w:val="left"/>
      <w:pPr>
        <w:ind w:hanging="360" w:left="1440"/>
        <w:tabs>
          <w:tab w:val="left" w:pos="1440" w:leader="none"/>
        </w:tabs>
      </w:pPr>
      <w:rPr>
        <w:rFonts w:ascii="Courier New" w:hAnsi="Courier New"/>
      </w:rPr>
    </w:lvl>
    <w:lvl w:ilvl="2" w:tplc="490151DF">
      <w:start w:val="1"/>
      <w:numFmt w:val="bullet"/>
      <w:suff w:val="tab"/>
      <w:lvlText w:val=""/>
      <w:lvlJc w:val="left"/>
      <w:pPr>
        <w:ind w:hanging="360" w:left="2160"/>
        <w:tabs>
          <w:tab w:val="left" w:pos="2160" w:leader="none"/>
        </w:tabs>
      </w:pPr>
      <w:rPr>
        <w:rFonts w:ascii="Wingdings" w:hAnsi="Wingdings"/>
      </w:rPr>
    </w:lvl>
    <w:lvl w:ilvl="3" w:tplc="645D6355">
      <w:start w:val="1"/>
      <w:numFmt w:val="bullet"/>
      <w:suff w:val="tab"/>
      <w:lvlText w:val=""/>
      <w:lvlJc w:val="left"/>
      <w:pPr>
        <w:ind w:hanging="360" w:left="2880"/>
        <w:tabs>
          <w:tab w:val="left" w:pos="2880" w:leader="none"/>
        </w:tabs>
      </w:pPr>
      <w:rPr>
        <w:rFonts w:ascii="Symbol" w:hAnsi="Symbol"/>
      </w:rPr>
    </w:lvl>
    <w:lvl w:ilvl="4" w:tplc="76981850">
      <w:start w:val="1"/>
      <w:numFmt w:val="bullet"/>
      <w:suff w:val="tab"/>
      <w:lvlText w:val="o"/>
      <w:lvlJc w:val="left"/>
      <w:pPr>
        <w:ind w:hanging="360" w:left="3600"/>
        <w:tabs>
          <w:tab w:val="left" w:pos="3600" w:leader="none"/>
        </w:tabs>
      </w:pPr>
      <w:rPr>
        <w:rFonts w:ascii="Courier New" w:hAnsi="Courier New"/>
      </w:rPr>
    </w:lvl>
    <w:lvl w:ilvl="5" w:tplc="17F9FF2E">
      <w:start w:val="1"/>
      <w:numFmt w:val="bullet"/>
      <w:suff w:val="tab"/>
      <w:lvlText w:val=""/>
      <w:lvlJc w:val="left"/>
      <w:pPr>
        <w:ind w:hanging="360" w:left="4320"/>
        <w:tabs>
          <w:tab w:val="left" w:pos="4320" w:leader="none"/>
        </w:tabs>
      </w:pPr>
      <w:rPr>
        <w:rFonts w:ascii="Wingdings" w:hAnsi="Wingdings"/>
      </w:rPr>
    </w:lvl>
    <w:lvl w:ilvl="6" w:tplc="7F6DDD71">
      <w:start w:val="1"/>
      <w:numFmt w:val="bullet"/>
      <w:suff w:val="tab"/>
      <w:lvlText w:val=""/>
      <w:lvlJc w:val="left"/>
      <w:pPr>
        <w:ind w:hanging="360" w:left="5040"/>
        <w:tabs>
          <w:tab w:val="left" w:pos="5040" w:leader="none"/>
        </w:tabs>
      </w:pPr>
      <w:rPr>
        <w:rFonts w:ascii="Symbol" w:hAnsi="Symbol"/>
      </w:rPr>
    </w:lvl>
    <w:lvl w:ilvl="7" w:tplc="43BAB223">
      <w:start w:val="1"/>
      <w:numFmt w:val="bullet"/>
      <w:suff w:val="tab"/>
      <w:lvlText w:val="o"/>
      <w:lvlJc w:val="left"/>
      <w:pPr>
        <w:ind w:hanging="360" w:left="5760"/>
        <w:tabs>
          <w:tab w:val="left" w:pos="5760" w:leader="none"/>
        </w:tabs>
      </w:pPr>
      <w:rPr>
        <w:rFonts w:ascii="Courier New" w:hAnsi="Courier New"/>
      </w:rPr>
    </w:lvl>
    <w:lvl w:ilvl="8" w:tplc="720F34E4">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1D92295B">
      <w:start w:val="1"/>
      <w:numFmt w:val="bullet"/>
      <w:suff w:val="tab"/>
      <w:lvlText w:val=""/>
      <w:lvlJc w:val="left"/>
      <w:pPr>
        <w:ind w:hanging="360" w:left="720"/>
        <w:tabs>
          <w:tab w:val="left" w:pos="720" w:leader="none"/>
        </w:tabs>
      </w:pPr>
      <w:rPr>
        <w:rFonts w:ascii="Symbol" w:hAnsi="Symbol"/>
      </w:rPr>
    </w:lvl>
    <w:lvl w:ilvl="1" w:tplc="339007EE">
      <w:start w:val="1"/>
      <w:numFmt w:val="bullet"/>
      <w:suff w:val="tab"/>
      <w:lvlText w:val="o"/>
      <w:lvlJc w:val="left"/>
      <w:pPr>
        <w:ind w:hanging="360" w:left="1440"/>
        <w:tabs>
          <w:tab w:val="left" w:pos="1440" w:leader="none"/>
        </w:tabs>
      </w:pPr>
      <w:rPr>
        <w:rFonts w:ascii="Courier New" w:hAnsi="Courier New"/>
      </w:rPr>
    </w:lvl>
    <w:lvl w:ilvl="2" w:tplc="70FADADB">
      <w:start w:val="1"/>
      <w:numFmt w:val="bullet"/>
      <w:suff w:val="tab"/>
      <w:lvlText w:val=""/>
      <w:lvlJc w:val="left"/>
      <w:pPr>
        <w:ind w:hanging="360" w:left="2160"/>
        <w:tabs>
          <w:tab w:val="left" w:pos="2160" w:leader="none"/>
        </w:tabs>
      </w:pPr>
      <w:rPr>
        <w:rFonts w:ascii="Wingdings" w:hAnsi="Wingdings"/>
      </w:rPr>
    </w:lvl>
    <w:lvl w:ilvl="3" w:tplc="4B01DBB3">
      <w:start w:val="1"/>
      <w:numFmt w:val="bullet"/>
      <w:suff w:val="tab"/>
      <w:lvlText w:val=""/>
      <w:lvlJc w:val="left"/>
      <w:pPr>
        <w:ind w:hanging="360" w:left="2880"/>
        <w:tabs>
          <w:tab w:val="left" w:pos="2880" w:leader="none"/>
        </w:tabs>
      </w:pPr>
      <w:rPr>
        <w:rFonts w:ascii="Symbol" w:hAnsi="Symbol"/>
      </w:rPr>
    </w:lvl>
    <w:lvl w:ilvl="4" w:tplc="16D38E58">
      <w:start w:val="1"/>
      <w:numFmt w:val="bullet"/>
      <w:suff w:val="tab"/>
      <w:lvlText w:val="o"/>
      <w:lvlJc w:val="left"/>
      <w:pPr>
        <w:ind w:hanging="360" w:left="3600"/>
        <w:tabs>
          <w:tab w:val="left" w:pos="3600" w:leader="none"/>
        </w:tabs>
      </w:pPr>
      <w:rPr>
        <w:rFonts w:ascii="Courier New" w:hAnsi="Courier New"/>
      </w:rPr>
    </w:lvl>
    <w:lvl w:ilvl="5" w:tplc="19A35ACA">
      <w:start w:val="1"/>
      <w:numFmt w:val="bullet"/>
      <w:suff w:val="tab"/>
      <w:lvlText w:val=""/>
      <w:lvlJc w:val="left"/>
      <w:pPr>
        <w:ind w:hanging="360" w:left="4320"/>
        <w:tabs>
          <w:tab w:val="left" w:pos="4320" w:leader="none"/>
        </w:tabs>
      </w:pPr>
      <w:rPr>
        <w:rFonts w:ascii="Wingdings" w:hAnsi="Wingdings"/>
      </w:rPr>
    </w:lvl>
    <w:lvl w:ilvl="6" w:tplc="2B945ACB">
      <w:start w:val="1"/>
      <w:numFmt w:val="bullet"/>
      <w:suff w:val="tab"/>
      <w:lvlText w:val=""/>
      <w:lvlJc w:val="left"/>
      <w:pPr>
        <w:ind w:hanging="360" w:left="5040"/>
        <w:tabs>
          <w:tab w:val="left" w:pos="5040" w:leader="none"/>
        </w:tabs>
      </w:pPr>
      <w:rPr>
        <w:rFonts w:ascii="Symbol" w:hAnsi="Symbol"/>
      </w:rPr>
    </w:lvl>
    <w:lvl w:ilvl="7" w:tplc="1BFD3E5B">
      <w:start w:val="1"/>
      <w:numFmt w:val="bullet"/>
      <w:suff w:val="tab"/>
      <w:lvlText w:val="o"/>
      <w:lvlJc w:val="left"/>
      <w:pPr>
        <w:ind w:hanging="360" w:left="5760"/>
        <w:tabs>
          <w:tab w:val="left" w:pos="5760" w:leader="none"/>
        </w:tabs>
      </w:pPr>
      <w:rPr>
        <w:rFonts w:ascii="Courier New" w:hAnsi="Courier New"/>
      </w:rPr>
    </w:lvl>
    <w:lvl w:ilvl="8" w:tplc="6FD0FBFC">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6306856B">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2012-09-20T11:54:00Z</dcterms:created>
  <cp:lastModifiedBy>Ethan Puglia</cp:lastModifiedBy>
  <cp:lastPrinted>2012-09-21T12:19:00Z</cp:lastPrinted>
  <dcterms:modified xsi:type="dcterms:W3CDTF">2019-03-28T17:33:04Z</dcterms:modified>
  <cp:revision>10</cp:revision>
  <dc:title>PROYECTO DE ORDENANZA VIOLENCIA FAMILIAR</dc:title>
</cp:coreProperties>
</file>