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601E3B2" Type="http://schemas.openxmlformats.org/officeDocument/2006/relationships/officeDocument" Target="/word/document.xml" /><Relationship Id="coreR1601E3B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9374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necesidad de destacar las bocas de incendio en la vía pública;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r>
        <w:tab/>
      </w:r>
    </w:p>
    <w:p>
      <w:pPr>
        <w:spacing w:beforeAutospacing="1" w:afterAutospacing="1"/>
        <w:ind w:left="426"/>
        <w:jc w:val="both"/>
        <w:rPr>
          <w:rStyle w:val="C3"/>
          <w:rFonts w:ascii="Courier New" w:hAnsi="Courier New"/>
        </w:rPr>
      </w:pPr>
      <w:r>
        <w:rPr>
          <w:rStyle w:val="C3"/>
          <w:rFonts w:ascii="Courier New" w:hAnsi="Courier New"/>
        </w:rPr>
        <w:t>Que en nuestra ciudad existe un cuerpo de Bomberos Voluntarios con experiencia e infraestructura suficiente para cubrir las situaciones donde el fuego o las acciones climáticas provocan daños a la propiedad o en el peor de los casos a la vida humana;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es sumamente necesario facilitar la labor de los bomberos concientizando a todos los vecinos mediante la educación y participación;</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es reconocida la dedicación y el trabajo que desarrollan nuestros bomberos en infinidad de incendios de montes, viviendas, depósitos, vehículos, etc. contando con herramientas, vestimenta y vehículos para actuar en cada uno de los casos;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toda la capacitación que se adquiere tiene que contar con estas herramientas para poder ejecutar todos los conocimientos adquiridos;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una boca de incendio en la vía pública en condiciones optimas de funcionamiento y señalizada es una herramienta más que facilita el trabajo de los bomberos, cumpliendo una función importante reduciendo los tiempos de carga de autobombas por acortar las distancias;</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en nuestra ciudad, en la red de agua potable, existen más de 280 hidrantes que muchos de ellos no están en condiciones de ser usados por distintas razones, por estar tapados por nuevas veredas, por no estar señalizados, etc.;</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en un trabajo en conjunto entre la C.O.S.A.G y los Bomberos Voluntarios de Alta Gracia se realizó un relevamiento de hidrantes en la vía pública de mayor diámetro, algunos de ellos ubicados en: Sarmiento esquina Larreta, Avellaneda esquina Quintana, Concejal Alonso esquina 24 de septiembre, Concejal Alonso esquina Tucumán, Avenida del Libertador esquina Nuñez, Avenida del Libertador esquina Roberto Saieg, Avenida del Libertador esquina Hernandez, etc.;</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luego del relevamiento surge que, en la mayoría de los casos, no es posible acceder a los hidrantes desde la calle y que es necesario destacar los mismos señalizando horizontalmente y librando el espacio de estacionamiento vehicular;</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existe la Ordenanza Nº 6668 que regula el estacionamiento en el espacio público pero no tiene en cuenta la situación de referencia;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ante todo lo expresado, creemos necesario sancionar una normativa que intente alcanzar los objetivos planteados;</w:t>
      </w:r>
    </w:p>
    <w:p>
      <w:pPr>
        <w:spacing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proyecto de Ordenanza por la Comisión de Obras y Servicios Públicos, la misma emite despacho aprobando el proyecto, despacho aprobado por unanimidad en Sesión Ordinaria del día 3 de Octubre de 2012.</w:t>
      </w:r>
    </w:p>
    <w:p>
      <w:pPr>
        <w:pStyle w:val="P11"/>
        <w:rPr>
          <w:rStyle w:val="C3"/>
        </w:rPr>
      </w:pP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DETERM</w:t>
      </w:r>
      <w:r>
        <w:rPr>
          <w:rStyle w:val="C3"/>
          <w:rFonts w:ascii="Courier New" w:hAnsi="Courier New"/>
          <w:b w:val="1"/>
        </w:rPr>
        <w:t>Í</w:t>
      </w:r>
      <w:r>
        <w:rPr>
          <w:rStyle w:val="C3"/>
          <w:rFonts w:ascii="Courier New" w:hAnsi="Courier New"/>
          <w:b w:val="1"/>
        </w:rPr>
        <w:t xml:space="preserve">NESE </w:t>
      </w:r>
      <w:r>
        <w:rPr>
          <w:rStyle w:val="C3"/>
          <w:rFonts w:ascii="Courier New" w:hAnsi="Courier New"/>
        </w:rPr>
        <w:t>como Espacio Reservado BOCA DE INCENDIO para uso exclusivo de los Bomberos Voluntarios de la Ciudad de Alta Gracia a los espacios donde existan hidrantes conectados a la red de agua potable de nuestra ciudad y que se detallan en ANEXO I el cual se adjunta y forma parte de la presente.</w:t>
      </w: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SEÑAL</w:t>
      </w:r>
      <w:r>
        <w:rPr>
          <w:rStyle w:val="C3"/>
          <w:rFonts w:ascii="Courier New" w:hAnsi="Courier New"/>
          <w:b w:val="1"/>
        </w:rPr>
        <w:t>Í</w:t>
      </w:r>
      <w:r>
        <w:rPr>
          <w:rStyle w:val="C3"/>
          <w:rFonts w:ascii="Courier New" w:hAnsi="Courier New"/>
          <w:b w:val="1"/>
        </w:rPr>
        <w:t xml:space="preserve">CESE </w:t>
      </w:r>
      <w:r>
        <w:rPr>
          <w:rStyle w:val="C3"/>
          <w:rFonts w:ascii="Courier New" w:hAnsi="Courier New"/>
        </w:rPr>
        <w:t xml:space="preserve">horizontalmente a los mismos determinando el área reservada conforme a lo establecido en el Anexo II el cual se adjunta y forma parte de la presente. </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 xml:space="preserve">QUEDA </w:t>
      </w:r>
      <w:r>
        <w:rPr>
          <w:rStyle w:val="C3"/>
          <w:rFonts w:ascii="Courier New" w:hAnsi="Courier New"/>
        </w:rPr>
        <w:t>totalmente prohibido estacionar y/o detenerse en estos espacios reservados, considerando falta grave al que lo hiciere.</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que estacionare en el Espacio Reservado BOCA DE INCENDIO será infraccionado mediante acta y sancionado con multa de 100 U.F. hasta 250 U.F.</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 xml:space="preserve">NOTIFIQUESE </w:t>
      </w:r>
      <w:r>
        <w:rPr>
          <w:rStyle w:val="C3"/>
          <w:rFonts w:ascii="Courier New" w:hAnsi="Courier New"/>
        </w:rPr>
        <w:t>a los propietarios frentistas de la ubicación de hidrante en su vereda instándolos a que en caso de rotura o pérdida comunique a la Municipalidad de Alta Gracia tal situación.</w:t>
      </w:r>
    </w:p>
    <w:p>
      <w:pPr>
        <w:ind w:hanging="426" w:left="426"/>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b w:val="1"/>
        </w:rPr>
      </w:pPr>
      <w:r>
        <w:rPr>
          <w:rStyle w:val="C3"/>
          <w:rFonts w:ascii="Courier New" w:hAnsi="Courier New"/>
          <w:b w:val="1"/>
          <w:u w:val="single"/>
        </w:rPr>
        <w:t>Art.6</w:t>
      </w:r>
      <w:r>
        <w:rPr>
          <w:rStyle w:val="C3"/>
          <w:rFonts w:ascii="Courier New" w:hAnsi="Courier New"/>
          <w:b w:val="1"/>
        </w:rPr>
        <w:t xml:space="preserve">: </w:t>
      </w:r>
      <w:r>
        <w:rPr>
          <w:rStyle w:val="C3"/>
          <w:rFonts w:ascii="Courier New" w:hAnsi="Courier New"/>
          <w:b w:val="1"/>
        </w:rPr>
        <w:t xml:space="preserve">INSTAR </w:t>
      </w:r>
      <w:r>
        <w:rPr>
          <w:rStyle w:val="C3"/>
          <w:rFonts w:ascii="Courier New" w:hAnsi="Courier New"/>
        </w:rPr>
        <w:t>a los propietarios de edificios particulares, comerciales, fabriles, de servicios y de deposito que posean sistemas de Hidrantes contra Incendio (Bocas de Incendios) exigido por las normas vigentes de seguridad a que adecuen los mismos al sistema de Unión Storz en el plazo de noventa (90) días.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rPr>
        <w:t>EXIG</w:t>
      </w:r>
      <w:r>
        <w:rPr>
          <w:rStyle w:val="C3"/>
          <w:rFonts w:ascii="Courier New" w:hAnsi="Courier New"/>
          <w:b w:val="1"/>
        </w:rPr>
        <w:t>ÍJASE</w:t>
      </w:r>
      <w:r>
        <w:rPr>
          <w:rStyle w:val="C3"/>
          <w:rFonts w:ascii="Courier New" w:hAnsi="Courier New"/>
          <w:b w:val="1"/>
        </w:rPr>
        <w:t xml:space="preserve"> </w:t>
      </w:r>
      <w:r>
        <w:rPr>
          <w:rStyle w:val="C3"/>
          <w:rFonts w:ascii="Courier New" w:hAnsi="Courier New"/>
        </w:rPr>
        <w:t>a los edificios en construcción en la actualidad o a construirse en el futuro, detallados en el Art. 6, a que el sistema de Hidrantes contra Incendio (Bocas de Incendio) sean instalados con Unión Storz.</w:t>
      </w:r>
      <w:r>
        <w:rPr>
          <w:rStyle w:val="C3"/>
          <w:rFonts w:ascii="Courier New" w:hAnsi="Courier New"/>
          <w:b w:val="1"/>
        </w:rPr>
        <w:t xml:space="preserve"> </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TRES DÍAS DEL MES DE OCTUBRE DEL AÑO DOS MIL DOCE.- </w:t>
      </w:r>
    </w:p>
    <w:p>
      <w:pPr>
        <w:pStyle w:val="P17"/>
      </w:pPr>
    </w:p>
    <w:p>
      <w:pPr>
        <w:pStyle w:val="P17"/>
      </w:pPr>
    </w:p>
    <w:p>
      <w:pPr>
        <w:pStyle w:val="P17"/>
      </w:pPr>
    </w:p>
    <w:p>
      <w:pPr>
        <w:pStyle w:val="P17"/>
      </w:pPr>
    </w:p>
    <w:p>
      <w:pPr>
        <w:pStyle w:val="P17"/>
      </w:pPr>
    </w:p>
    <w:p>
      <w:pPr>
        <w:spacing w:lineRule="auto" w:line="276" w:after="200"/>
        <w:rPr>
          <w:rStyle w:val="C3"/>
          <w:rFonts w:ascii="Courier New" w:hAnsi="Courier New"/>
        </w:rPr>
      </w:pPr>
      <w:r>
        <w:rPr>
          <w:rStyle w:val="C3"/>
          <w:rFonts w:ascii="Courier New" w:hAnsi="Courier New"/>
        </w:rPr>
        <w:t>...///4.-</w:t>
      </w:r>
    </w:p>
    <w:p>
      <w:pPr>
        <w:spacing w:lineRule="auto" w:line="276" w:after="200"/>
        <w:jc w:val="center"/>
        <w:rPr>
          <w:rStyle w:val="C3"/>
          <w:rFonts w:ascii="Calibri" w:hAnsi="Calibri"/>
          <w:sz w:val="44"/>
        </w:rPr>
      </w:pPr>
      <w:r>
        <w:rPr>
          <w:rStyle w:val="C3"/>
          <w:rFonts w:ascii="Calibri" w:hAnsi="Calibri"/>
          <w:sz w:val="44"/>
        </w:rPr>
        <w:t>ANEXO II</w:t>
      </w:r>
    </w:p>
    <w:p>
      <w:pPr>
        <w:spacing w:lineRule="auto" w:line="276" w:after="200"/>
        <w:jc w:val="center"/>
        <w:rPr>
          <w:rStyle w:val="C3"/>
          <w:rFonts w:ascii="Calibri" w:hAnsi="Calibri"/>
          <w:sz w:val="44"/>
        </w:rPr>
      </w:pPr>
    </w:p>
    <w:p>
      <w:pPr>
        <w:spacing w:lineRule="auto" w:line="276" w:after="200"/>
        <w:jc w:val="center"/>
        <w:rPr>
          <w:rStyle w:val="C3"/>
          <w:rFonts w:ascii="Calibri" w:hAnsi="Calibri"/>
          <w:sz w:val="44"/>
        </w:rPr>
      </w:pPr>
      <w:r>
        <w:rPr>
          <w:rStyle w:val="C3"/>
          <w:rFonts w:ascii="Calibri" w:hAnsi="Calibri"/>
          <w:sz w:val="44"/>
        </w:rPr>
        <w:t>SEÑALIZACIÓN HORIZONTAL</w:t>
      </w:r>
    </w:p>
    <w:p>
      <w:pPr>
        <w:spacing w:lineRule="auto" w:line="276" w:after="200"/>
        <w:jc w:val="center"/>
        <w:rPr>
          <w:rStyle w:val="C3"/>
          <w:rFonts w:ascii="Calibri" w:hAnsi="Calibri"/>
          <w:sz w:val="44"/>
        </w:rPr>
      </w:pPr>
      <w:r>
        <w:rPr>
          <w:rStyle w:val="C3"/>
          <w:rFonts w:ascii="Calibri" w:hAnsi="Calibri"/>
          <w:sz w:val="44"/>
        </w:rPr>
        <w:t>BOCA DE INCENDIO</w:t>
      </w:r>
    </w:p>
    <w:p>
      <w:pPr>
        <w:spacing w:lineRule="auto" w:line="276" w:after="200"/>
        <w:jc w:val="center"/>
        <w:rPr>
          <w:rStyle w:val="C3"/>
          <w:rFonts w:ascii="Calibri" w:hAnsi="Calibri"/>
          <w:sz w:val="22"/>
        </w:rPr>
      </w:pPr>
    </w:p>
    <w:p>
      <w:pPr>
        <w:spacing w:lineRule="auto" w:line="276" w:after="200"/>
        <w:rPr>
          <w:rStyle w:val="C3"/>
          <w:rFonts w:ascii="Calibri" w:hAnsi="Calibri"/>
          <w:sz w:val="22"/>
        </w:rPr>
      </w:pPr>
    </w:p>
    <w:p>
      <w:pPr>
        <w:spacing w:lineRule="auto" w:line="276" w:after="200"/>
        <w:rPr>
          <w:rStyle w:val="C3"/>
          <w:rFonts w:ascii="Calibri" w:hAnsi="Calibri"/>
          <w:sz w:val="22"/>
        </w:rPr>
      </w:pPr>
      <w:r>
        <mc:AlternateContent>
          <mc:Choice Requires="wps">
            <w:rPr>
              <w:rStyle w:val="C3"/>
            </w:rPr>
            <w:drawing>
              <wp:anchor xmlns:wp="http://schemas.openxmlformats.org/drawingml/2006/wordprocessingDrawing" simplePos="0" allowOverlap="0" behindDoc="0" layoutInCell="1" locked="0" relativeHeight="1" distL="114300" distR="114300">
                <wp:simplePos x="0" y="0"/>
                <wp:positionH relativeFrom="column">
                  <wp:posOffset>4425315</wp:posOffset>
                </wp:positionH>
                <wp:positionV relativeFrom="paragraph">
                  <wp:posOffset>100965</wp:posOffset>
                </wp:positionV>
                <wp:extent cx="1171575" cy="495300"/>
                <wp:wrapNone/>
                <wp:docPr id="1" name="Text Box 1"/>
                <a:graphic xmlns:a="http://schemas.openxmlformats.org/drawingml/2006/main">
                  <a:graphicData uri="http://schemas.microsoft.com/office/word/2010/wordprocessingShape">
                    <wps:wsp>
                      <wps:cNvSpPr/>
                      <wps:spPr>
                        <a:xfrm>
                          <a:off x="0" y="0"/>
                          <a:ext cx="1171575" cy="495300"/>
                        </a:xfrm>
                        <a:prstGeom prst="rect"/>
                        <a:solidFill>
                          <a:srgbClr val="110000"/>
                        </a:solidFill>
                        <a:ln w="6350">
                          <a:solidFill>
                            <a:srgbClr val="000000"/>
                          </a:solidFill>
                        </a:ln>
                      </wps:spPr>
                      <wps:txbx>
                        <w:txbxContent>
                          <w:p>
                            <w:pPr>
                              <w:jc w:val="center"/>
                              <w:rPr>
                                <w:rStyle w:val="C3"/>
                                <w:sz w:val="20"/>
                              </w:rPr>
                            </w:pPr>
                            <w:r>
                              <w:rPr>
                                <w:rStyle w:val="C3"/>
                                <w:sz w:val="20"/>
                              </w:rPr>
                              <w:t>Línea de cordón de vereda</w:t>
                            </w:r>
                          </w:p>
                        </w:txbxContent>
                      </wps:txbx>
                      <wps:bodyPr>
                        <a:noAutofit/>
                      </wps:bodyPr>
                    </wps:wsp>
                  </a:graphicData>
                </a:graphic>
                <wp14:sizeRelH relativeFrom="margin">
                  <wp14:pctWidth>0</wp14:pctWidth>
                </wp14:sizeRelH>
                <wp14:sizeRelV relativeFrom="margin">
                  <wp14:pctHeight>0</wp14:pctHeight>
                </wp14:sizeRelV>
              </wp:anchor>
            </w:drawing>
          </mc:Choice>
          <mc:Fallback>
            <w:pict>
              <v:shapetype id="2" path="m,l,21600r21600,l21600,xe"/>
              <v:shape xmlns:o="urn:schemas-microsoft-com:office:office" type="#2" id="Text Box 1" style="position:absolute;width:92.25pt;height:39pt;z-index:1;mso-wrap-distance-left:9pt;mso-wrap-distance-top:0pt;mso-wrap-distance-right:9pt;mso-wrap-distance-bottom:0pt;margin-left:348.45pt;margin-top:7.95pt;mso-position-horizontal:absolute;mso-position-horizontal-relative:text;mso-position-vertical:absolute;mso-position-vertical-relative:text;mso-width-relative:margin;mso-width-percent:0;mso-height-relative:margin;mso-height-percent:0" fillcolor="#110000" strokecolor="#000000" strokeweight="0pt" o:allowincell="t">
                <v:textbox style="mso-fit-shape-to-text:f">
                  <w:txbxContent>
                    <w:p>
                      <w:pPr>
                        <w:jc w:val="center"/>
                        <w:rPr>
                          <w:rStyle w:val="C3"/>
                          <w:sz w:val="20"/>
                        </w:rPr>
                      </w:pPr>
                      <w:r>
                        <w:rPr>
                          <w:rStyle w:val="C3"/>
                          <w:sz w:val="20"/>
                        </w:rPr>
                        <w:t>Línea de cordón de vereda</w:t>
                      </w:r>
                    </w:p>
                  </w:txbxContent>
                </v:textbox>
              </v:shape>
            </w:pict>
          </mc:Fallback>
        </mc:AlternateContent>
      </w:r>
    </w:p>
    <w:p>
      <w:pPr>
        <w:spacing w:lineRule="auto" w:line="276" w:after="200"/>
        <w:rPr>
          <w:rStyle w:val="C3"/>
          <w:rFonts w:ascii="Calibri" w:hAnsi="Calibri"/>
          <w:sz w:val="22"/>
        </w:rPr>
      </w:pPr>
    </w:p>
    <w:p>
      <w:pPr>
        <w:spacing w:lineRule="auto" w:line="276" w:after="200"/>
        <w:rPr>
          <w:rStyle w:val="C3"/>
          <w:rFonts w:ascii="Calibri" w:hAnsi="Calibri"/>
          <w:sz w:val="22"/>
        </w:rPr>
      </w:pPr>
    </w:p>
    <w:p>
      <w:pPr>
        <w:spacing w:lineRule="auto" w:line="276" w:after="200"/>
        <w:rPr>
          <w:rStyle w:val="C3"/>
          <w:rFonts w:ascii="Calibri" w:hAnsi="Calibri"/>
          <w:sz w:val="22"/>
        </w:rPr>
      </w:pPr>
      <w:r>
        <mc:AlternateContent>
          <mc:Choice Requires="wps">
            <w:rPr>
              <w:rStyle w:val="C3"/>
            </w:rPr>
            <w:drawing>
              <wp:anchor xmlns:wp="http://schemas.openxmlformats.org/drawingml/2006/wordprocessingDrawing" simplePos="0" allowOverlap="0" behindDoc="0" layoutInCell="1" locked="0" relativeHeight="2" distL="114300" distR="114300">
                <wp:simplePos x="0" y="0"/>
                <wp:positionH relativeFrom="column">
                  <wp:posOffset>3063240</wp:posOffset>
                </wp:positionH>
                <wp:positionV relativeFrom="paragraph">
                  <wp:posOffset>160020</wp:posOffset>
                </wp:positionV>
                <wp:extent cx="1581150" cy="238125"/>
                <wp:wrapNone/>
                <wp:docPr id="3" name="Text Box 3"/>
                <a:graphic xmlns:a="http://schemas.openxmlformats.org/drawingml/2006/main">
                  <a:graphicData uri="http://schemas.microsoft.com/office/word/2010/wordprocessingShape">
                    <wps:wsp>
                      <wps:cNvSpPr/>
                      <wps:spPr>
                        <a:xfrm>
                          <a:off x="0" y="0"/>
                          <a:ext cx="1581150" cy="238125"/>
                        </a:xfrm>
                        <a:prstGeom prst="rect"/>
                        <a:solidFill>
                          <a:srgbClr val="110000"/>
                        </a:solidFill>
                        <a:ln w="6350">
                          <a:solidFill>
                            <a:srgbClr val="000000"/>
                          </a:solidFill>
                        </a:ln>
                      </wps:spPr>
                      <wps:txbx>
                        <w:txbxContent>
                          <w:p>
                            <w:pPr>
                              <w:rPr>
                                <w:rStyle w:val="C3"/>
                                <w:sz w:val="20"/>
                              </w:rPr>
                            </w:pPr>
                            <w:r>
                              <w:rPr>
                                <w:rStyle w:val="C3"/>
                                <w:sz w:val="20"/>
                              </w:rPr>
                              <w:t>Tapa de Boca de Incendio</w:t>
                            </w:r>
                          </w:p>
                        </w:txbxContent>
                      </wps:txbx>
                      <wps:bodyPr>
                        <a:noAutofit/>
                      </wps:bodyPr>
                    </wps:wsp>
                  </a:graphicData>
                </a:graphic>
                <wp14:sizeRelH relativeFrom="margin">
                  <wp14:pctWidth>0</wp14:pctWidth>
                </wp14:sizeRelH>
                <wp14:sizeRelV relativeFrom="margin">
                  <wp14:pctHeight>0</wp14:pctHeight>
                </wp14:sizeRelV>
              </wp:anchor>
            </w:drawing>
          </mc:Choice>
          <mc:Fallback>
            <w:pict>
              <v:shapetype id="4" path="m,l,21600r21600,l21600,xe"/>
              <v:shape xmlns:o="urn:schemas-microsoft-com:office:office" type="#4" id="Text Box 3" style="position:absolute;width:124.5pt;height:18.75pt;z-index:2;mso-wrap-distance-left:9pt;mso-wrap-distance-top:0pt;mso-wrap-distance-right:9pt;mso-wrap-distance-bottom:0pt;margin-left:241.2pt;margin-top:12.6pt;mso-position-horizontal:absolute;mso-position-horizontal-relative:text;mso-position-vertical:absolute;mso-position-vertical-relative:text;mso-width-relative:margin;mso-width-percent:0;mso-height-relative:margin;mso-height-percent:0" fillcolor="#110000" strokecolor="#000000" strokeweight="0pt" o:allowincell="t">
                <v:textbox style="mso-fit-shape-to-text:f">
                  <w:txbxContent>
                    <w:p>
                      <w:pPr>
                        <w:rPr>
                          <w:rStyle w:val="C3"/>
                          <w:sz w:val="20"/>
                        </w:rPr>
                      </w:pPr>
                      <w:r>
                        <w:rPr>
                          <w:rStyle w:val="C3"/>
                          <w:sz w:val="20"/>
                        </w:rPr>
                        <w:t>Tapa de Boca de Incendio</w:t>
                      </w:r>
                    </w:p>
                  </w:txbxContent>
                </v:textbox>
              </v:shape>
            </w:pict>
          </mc:Fallback>
        </mc:AlternateContent>
      </w:r>
    </w:p>
    <w:p>
      <w:pPr>
        <w:tabs>
          <w:tab w:val="left" w:pos="7245" w:leader="none"/>
        </w:tabs>
        <w:spacing w:lineRule="auto" w:line="276" w:after="200"/>
        <w:rPr>
          <w:rStyle w:val="C3"/>
          <w:rFonts w:ascii="Calibri" w:hAnsi="Calibri"/>
          <w:sz w:val="22"/>
        </w:rPr>
      </w:pPr>
      <w:r>
        <w:rPr>
          <w:rStyle w:val="C3"/>
          <w:rFonts w:ascii="Calibri" w:hAnsi="Calibri"/>
          <w:sz w:val="22"/>
        </w:rPr>
        <w:tab/>
      </w:r>
    </w:p>
    <w:p>
      <w:pPr>
        <w:tabs>
          <w:tab w:val="left" w:pos="7245" w:leader="none"/>
        </w:tabs>
        <w:spacing w:lineRule="auto" w:line="276" w:after="200"/>
        <w:rPr>
          <w:rStyle w:val="C3"/>
          <w:rFonts w:ascii="Calibri" w:hAnsi="Calibri"/>
          <w:sz w:val="22"/>
        </w:rPr>
      </w:pPr>
    </w:p>
    <w:p>
      <w:pPr>
        <w:pStyle w:val="P17"/>
      </w:pPr>
      <w:r>
        <w:t xml:space="preserve">                  </w:t>
      </w:r>
    </w:p>
    <w:p>
      <w:pPr>
        <w:jc w:val="center"/>
        <w:rPr>
          <w:rStyle w:val="C3"/>
          <w:rFonts w:ascii="Calibri" w:hAnsi="Calibri"/>
          <w:b w:val="1"/>
          <w:sz w:val="22"/>
        </w:rPr>
      </w:pPr>
      <w:r>
        <w:drawing>
          <wp:inline xmlns:wp="http://schemas.openxmlformats.org/drawingml/2006/wordprocessingDrawing">
            <wp:extent cx="1362075" cy="504825"/>
            <wp:docPr id="5" name="Picture 5"/>
            <a:graphic xmlns:a="http://schemas.openxmlformats.org/drawingml/2006/main">
              <a:graphicData uri="http://schemas.openxmlformats.org/drawingml/2006/picture">
                <pic:pic xmlns:pic="http://schemas.openxmlformats.org/drawingml/2006/picture">
                  <pic:nvPicPr>
                    <pic:cNvPr id="5" name="Picture 5"/>
                    <pic:cNvPicPr/>
                  </pic:nvPicPr>
                  <pic:blipFill>
                    <a:blip xmlns:r="http://schemas.openxmlformats.org/officeDocument/2006/relationships" r:embed="Relimage1"/>
                    <a:stretch>
                      <a:fillRect/>
                    </a:stretch>
                  </pic:blipFill>
                  <pic:spPr>
                    <a:xfrm>
                      <a:off x="0" y="0"/>
                      <a:ext cx="1362075" cy="504825"/>
                    </a:xfrm>
                    <a:prstGeom prst="rect"/>
                    <a:noFill/>
                  </pic:spPr>
                </pic:pic>
              </a:graphicData>
            </a:graphic>
          </wp:inline>
        </w:drawing>
      </w:r>
    </w:p>
    <w:p>
      <w:pPr>
        <w:jc w:val="center"/>
        <w:rPr>
          <w:rStyle w:val="C3"/>
          <w:rFonts w:ascii="Calibri" w:hAnsi="Calibri"/>
          <w:b w:val="1"/>
          <w:sz w:val="22"/>
        </w:rPr>
      </w:pPr>
    </w:p>
    <w:p>
      <w:pPr>
        <w:pStyle w:val="P17"/>
        <w:rPr>
          <w:rStyle w:val="C3"/>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69E0033">
      <w:start w:val="0"/>
      <w:numFmt w:val="bullet"/>
      <w:suff w:val="tab"/>
      <w:lvlText w:val=""/>
      <w:lvlJc w:val="left"/>
      <w:pPr>
        <w:ind w:hanging="360" w:left="927"/>
      </w:pPr>
      <w:rPr>
        <w:rFonts w:ascii="Symbol" w:hAnsi="Symbol"/>
      </w:rPr>
    </w:lvl>
    <w:lvl w:ilvl="1" w:tplc="2D940726">
      <w:start w:val="1"/>
      <w:numFmt w:val="bullet"/>
      <w:suff w:val="tab"/>
      <w:lvlText w:val="o"/>
      <w:lvlJc w:val="left"/>
      <w:pPr>
        <w:ind w:hanging="360" w:left="1647"/>
      </w:pPr>
      <w:rPr>
        <w:rFonts w:ascii="Courier New" w:hAnsi="Courier New"/>
      </w:rPr>
    </w:lvl>
    <w:lvl w:ilvl="2" w:tplc="4CEA3B7E">
      <w:start w:val="1"/>
      <w:numFmt w:val="bullet"/>
      <w:suff w:val="tab"/>
      <w:lvlText w:val=""/>
      <w:lvlJc w:val="left"/>
      <w:pPr>
        <w:ind w:hanging="360" w:left="2367"/>
      </w:pPr>
      <w:rPr>
        <w:rFonts w:ascii="Wingdings" w:hAnsi="Wingdings"/>
      </w:rPr>
    </w:lvl>
    <w:lvl w:ilvl="3" w:tplc="1E15B6A0">
      <w:start w:val="1"/>
      <w:numFmt w:val="bullet"/>
      <w:suff w:val="tab"/>
      <w:lvlText w:val=""/>
      <w:lvlJc w:val="left"/>
      <w:pPr>
        <w:ind w:hanging="360" w:left="3087"/>
      </w:pPr>
      <w:rPr>
        <w:rFonts w:ascii="Symbol" w:hAnsi="Symbol"/>
      </w:rPr>
    </w:lvl>
    <w:lvl w:ilvl="4" w:tplc="1DF2FA9C">
      <w:start w:val="1"/>
      <w:numFmt w:val="bullet"/>
      <w:suff w:val="tab"/>
      <w:lvlText w:val="o"/>
      <w:lvlJc w:val="left"/>
      <w:pPr>
        <w:ind w:hanging="360" w:left="3807"/>
      </w:pPr>
      <w:rPr>
        <w:rFonts w:ascii="Courier New" w:hAnsi="Courier New"/>
      </w:rPr>
    </w:lvl>
    <w:lvl w:ilvl="5" w:tplc="094AE0D2">
      <w:start w:val="1"/>
      <w:numFmt w:val="bullet"/>
      <w:suff w:val="tab"/>
      <w:lvlText w:val=""/>
      <w:lvlJc w:val="left"/>
      <w:pPr>
        <w:ind w:hanging="360" w:left="4527"/>
      </w:pPr>
      <w:rPr>
        <w:rFonts w:ascii="Wingdings" w:hAnsi="Wingdings"/>
      </w:rPr>
    </w:lvl>
    <w:lvl w:ilvl="6" w:tplc="1B386C8B">
      <w:start w:val="1"/>
      <w:numFmt w:val="bullet"/>
      <w:suff w:val="tab"/>
      <w:lvlText w:val=""/>
      <w:lvlJc w:val="left"/>
      <w:pPr>
        <w:ind w:hanging="360" w:left="5247"/>
      </w:pPr>
      <w:rPr>
        <w:rFonts w:ascii="Symbol" w:hAnsi="Symbol"/>
      </w:rPr>
    </w:lvl>
    <w:lvl w:ilvl="7" w:tplc="17673BC2">
      <w:start w:val="1"/>
      <w:numFmt w:val="bullet"/>
      <w:suff w:val="tab"/>
      <w:lvlText w:val="o"/>
      <w:lvlJc w:val="left"/>
      <w:pPr>
        <w:ind w:hanging="360" w:left="5967"/>
      </w:pPr>
      <w:rPr>
        <w:rFonts w:ascii="Courier New" w:hAnsi="Courier New"/>
      </w:rPr>
    </w:lvl>
    <w:lvl w:ilvl="8" w:tplc="2993605D">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CF00F93">
      <w:start w:val="0"/>
      <w:numFmt w:val="bullet"/>
      <w:suff w:val="tab"/>
      <w:lvlText w:val="-"/>
      <w:lvlJc w:val="left"/>
      <w:pPr>
        <w:ind w:hanging="360" w:left="720"/>
        <w:tabs>
          <w:tab w:val="left" w:pos="720" w:leader="none"/>
        </w:tabs>
      </w:pPr>
      <w:rPr>
        <w:rFonts w:ascii="Times New Roman" w:hAnsi="Times New Roman"/>
      </w:rPr>
    </w:lvl>
    <w:lvl w:ilvl="1" w:tplc="0F7CC151">
      <w:start w:val="1"/>
      <w:numFmt w:val="bullet"/>
      <w:suff w:val="tab"/>
      <w:lvlText w:val="o"/>
      <w:lvlJc w:val="left"/>
      <w:pPr>
        <w:ind w:hanging="360" w:left="1440"/>
        <w:tabs>
          <w:tab w:val="left" w:pos="1440" w:leader="none"/>
        </w:tabs>
      </w:pPr>
      <w:rPr>
        <w:rFonts w:ascii="Courier New" w:hAnsi="Courier New"/>
      </w:rPr>
    </w:lvl>
    <w:lvl w:ilvl="2" w:tplc="2DAF953C">
      <w:start w:val="1"/>
      <w:numFmt w:val="bullet"/>
      <w:suff w:val="tab"/>
      <w:lvlText w:val=""/>
      <w:lvlJc w:val="left"/>
      <w:pPr>
        <w:ind w:hanging="360" w:left="2160"/>
        <w:tabs>
          <w:tab w:val="left" w:pos="2160" w:leader="none"/>
        </w:tabs>
      </w:pPr>
      <w:rPr>
        <w:rFonts w:ascii="Wingdings" w:hAnsi="Wingdings"/>
      </w:rPr>
    </w:lvl>
    <w:lvl w:ilvl="3" w:tplc="5E9E0BEB">
      <w:start w:val="1"/>
      <w:numFmt w:val="bullet"/>
      <w:suff w:val="tab"/>
      <w:lvlText w:val=""/>
      <w:lvlJc w:val="left"/>
      <w:pPr>
        <w:ind w:hanging="360" w:left="2880"/>
        <w:tabs>
          <w:tab w:val="left" w:pos="2880" w:leader="none"/>
        </w:tabs>
      </w:pPr>
      <w:rPr>
        <w:rFonts w:ascii="Symbol" w:hAnsi="Symbol"/>
      </w:rPr>
    </w:lvl>
    <w:lvl w:ilvl="4" w:tplc="5CC1A1F1">
      <w:start w:val="1"/>
      <w:numFmt w:val="bullet"/>
      <w:suff w:val="tab"/>
      <w:lvlText w:val="o"/>
      <w:lvlJc w:val="left"/>
      <w:pPr>
        <w:ind w:hanging="360" w:left="3600"/>
        <w:tabs>
          <w:tab w:val="left" w:pos="3600" w:leader="none"/>
        </w:tabs>
      </w:pPr>
      <w:rPr>
        <w:rFonts w:ascii="Courier New" w:hAnsi="Courier New"/>
      </w:rPr>
    </w:lvl>
    <w:lvl w:ilvl="5" w:tplc="2AD2AFBD">
      <w:start w:val="1"/>
      <w:numFmt w:val="bullet"/>
      <w:suff w:val="tab"/>
      <w:lvlText w:val=""/>
      <w:lvlJc w:val="left"/>
      <w:pPr>
        <w:ind w:hanging="360" w:left="4320"/>
        <w:tabs>
          <w:tab w:val="left" w:pos="4320" w:leader="none"/>
        </w:tabs>
      </w:pPr>
      <w:rPr>
        <w:rFonts w:ascii="Wingdings" w:hAnsi="Wingdings"/>
      </w:rPr>
    </w:lvl>
    <w:lvl w:ilvl="6" w:tplc="2797493E">
      <w:start w:val="1"/>
      <w:numFmt w:val="bullet"/>
      <w:suff w:val="tab"/>
      <w:lvlText w:val=""/>
      <w:lvlJc w:val="left"/>
      <w:pPr>
        <w:ind w:hanging="360" w:left="5040"/>
        <w:tabs>
          <w:tab w:val="left" w:pos="5040" w:leader="none"/>
        </w:tabs>
      </w:pPr>
      <w:rPr>
        <w:rFonts w:ascii="Symbol" w:hAnsi="Symbol"/>
      </w:rPr>
    </w:lvl>
    <w:lvl w:ilvl="7" w:tplc="27CD201E">
      <w:start w:val="1"/>
      <w:numFmt w:val="bullet"/>
      <w:suff w:val="tab"/>
      <w:lvlText w:val="o"/>
      <w:lvlJc w:val="left"/>
      <w:pPr>
        <w:ind w:hanging="360" w:left="5760"/>
        <w:tabs>
          <w:tab w:val="left" w:pos="5760" w:leader="none"/>
        </w:tabs>
      </w:pPr>
      <w:rPr>
        <w:rFonts w:ascii="Courier New" w:hAnsi="Courier New"/>
      </w:rPr>
    </w:lvl>
    <w:lvl w:ilvl="8" w:tplc="23380E90">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BF38147">
      <w:start w:val="1"/>
      <w:numFmt w:val="bullet"/>
      <w:suff w:val="tab"/>
      <w:lvlText w:val=""/>
      <w:lvlJc w:val="left"/>
      <w:pPr>
        <w:ind w:hanging="360" w:left="720"/>
        <w:tabs>
          <w:tab w:val="left" w:pos="720" w:leader="none"/>
        </w:tabs>
      </w:pPr>
      <w:rPr>
        <w:rFonts w:ascii="Symbol" w:hAnsi="Symbol"/>
      </w:rPr>
    </w:lvl>
    <w:lvl w:ilvl="1" w:tplc="5BE7CCF6">
      <w:start w:val="1"/>
      <w:numFmt w:val="bullet"/>
      <w:suff w:val="tab"/>
      <w:lvlText w:val="o"/>
      <w:lvlJc w:val="left"/>
      <w:pPr>
        <w:ind w:hanging="360" w:left="1440"/>
        <w:tabs>
          <w:tab w:val="left" w:pos="1440" w:leader="none"/>
        </w:tabs>
      </w:pPr>
      <w:rPr>
        <w:rFonts w:ascii="Courier New" w:hAnsi="Courier New"/>
      </w:rPr>
    </w:lvl>
    <w:lvl w:ilvl="2" w:tplc="2B4BD3A0">
      <w:start w:val="1"/>
      <w:numFmt w:val="bullet"/>
      <w:suff w:val="tab"/>
      <w:lvlText w:val=""/>
      <w:lvlJc w:val="left"/>
      <w:pPr>
        <w:ind w:hanging="360" w:left="2160"/>
        <w:tabs>
          <w:tab w:val="left" w:pos="2160" w:leader="none"/>
        </w:tabs>
      </w:pPr>
      <w:rPr>
        <w:rFonts w:ascii="Wingdings" w:hAnsi="Wingdings"/>
      </w:rPr>
    </w:lvl>
    <w:lvl w:ilvl="3" w:tplc="0D630B4C">
      <w:start w:val="1"/>
      <w:numFmt w:val="bullet"/>
      <w:suff w:val="tab"/>
      <w:lvlText w:val=""/>
      <w:lvlJc w:val="left"/>
      <w:pPr>
        <w:ind w:hanging="360" w:left="2880"/>
        <w:tabs>
          <w:tab w:val="left" w:pos="2880" w:leader="none"/>
        </w:tabs>
      </w:pPr>
      <w:rPr>
        <w:rFonts w:ascii="Symbol" w:hAnsi="Symbol"/>
      </w:rPr>
    </w:lvl>
    <w:lvl w:ilvl="4" w:tplc="3503BF87">
      <w:start w:val="1"/>
      <w:numFmt w:val="bullet"/>
      <w:suff w:val="tab"/>
      <w:lvlText w:val="o"/>
      <w:lvlJc w:val="left"/>
      <w:pPr>
        <w:ind w:hanging="360" w:left="3600"/>
        <w:tabs>
          <w:tab w:val="left" w:pos="3600" w:leader="none"/>
        </w:tabs>
      </w:pPr>
      <w:rPr>
        <w:rFonts w:ascii="Courier New" w:hAnsi="Courier New"/>
      </w:rPr>
    </w:lvl>
    <w:lvl w:ilvl="5" w:tplc="6DCF47A5">
      <w:start w:val="1"/>
      <w:numFmt w:val="bullet"/>
      <w:suff w:val="tab"/>
      <w:lvlText w:val=""/>
      <w:lvlJc w:val="left"/>
      <w:pPr>
        <w:ind w:hanging="360" w:left="4320"/>
        <w:tabs>
          <w:tab w:val="left" w:pos="4320" w:leader="none"/>
        </w:tabs>
      </w:pPr>
      <w:rPr>
        <w:rFonts w:ascii="Wingdings" w:hAnsi="Wingdings"/>
      </w:rPr>
    </w:lvl>
    <w:lvl w:ilvl="6" w:tplc="6FE9F0B3">
      <w:start w:val="1"/>
      <w:numFmt w:val="bullet"/>
      <w:suff w:val="tab"/>
      <w:lvlText w:val=""/>
      <w:lvlJc w:val="left"/>
      <w:pPr>
        <w:ind w:hanging="360" w:left="5040"/>
        <w:tabs>
          <w:tab w:val="left" w:pos="5040" w:leader="none"/>
        </w:tabs>
      </w:pPr>
      <w:rPr>
        <w:rFonts w:ascii="Symbol" w:hAnsi="Symbol"/>
      </w:rPr>
    </w:lvl>
    <w:lvl w:ilvl="7" w:tplc="2B362997">
      <w:start w:val="1"/>
      <w:numFmt w:val="bullet"/>
      <w:suff w:val="tab"/>
      <w:lvlText w:val="o"/>
      <w:lvlJc w:val="left"/>
      <w:pPr>
        <w:ind w:hanging="360" w:left="5760"/>
        <w:tabs>
          <w:tab w:val="left" w:pos="5760" w:leader="none"/>
        </w:tabs>
      </w:pPr>
      <w:rPr>
        <w:rFonts w:ascii="Courier New" w:hAnsi="Courier New"/>
      </w:rPr>
    </w:lvl>
    <w:lvl w:ilvl="8" w:tplc="05A6B9E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865C12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2012-10-04T14:54:00Z</dcterms:created>
  <cp:lastModifiedBy>Ethan Puglia</cp:lastModifiedBy>
  <cp:lastPrinted>2012-10-04T15:50:00Z</cp:lastPrinted>
  <dcterms:modified xsi:type="dcterms:W3CDTF">2019-03-28T17:33:05Z</dcterms:modified>
  <cp:revision>11</cp:revision>
  <dc:title>PROYECTO DE ORDENANZA VIOLENCIA FAMILIAR</dc:title>
</cp:coreProperties>
</file>