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8DA4173" Type="http://schemas.openxmlformats.org/officeDocument/2006/relationships/officeDocument" Target="/word/document.xml" /><Relationship Id="coreR78DA417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9376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Visto: La Ordenanza Nº 9233 “ORDENANZA GENERAL DE CONTABILIDAD Y CONTRATACIÓN”; y</w:t>
      </w:r>
    </w:p>
    <w:p>
      <w:pPr>
        <w:tabs>
          <w:tab w:val="left" w:pos="5255" w:leader="none"/>
        </w:tabs>
        <w:jc w:val="both"/>
        <w:rPr>
          <w:rStyle w:val="C3"/>
          <w:rFonts w:ascii="Courier New" w:hAnsi="Courier New"/>
        </w:rPr>
      </w:pPr>
    </w:p>
    <w:p>
      <w:pPr>
        <w:tabs>
          <w:tab w:val="left" w:pos="5255" w:leader="none"/>
        </w:tabs>
        <w:jc w:val="both"/>
        <w:rPr>
          <w:rStyle w:val="C3"/>
          <w:rFonts w:ascii="Courier New" w:hAnsi="Courier New"/>
        </w:rPr>
      </w:pPr>
    </w:p>
    <w:p>
      <w:pPr>
        <w:pStyle w:val="P2"/>
      </w:pPr>
      <w:r>
        <w:t>C O N S I D E R A N D O</w:t>
      </w:r>
    </w:p>
    <w:p>
      <w:pPr>
        <w:tabs>
          <w:tab w:val="left" w:pos="2824" w:leader="none"/>
        </w:tabs>
      </w:pPr>
    </w:p>
    <w:p>
      <w:pPr>
        <w:tabs>
          <w:tab w:val="left" w:pos="2824" w:leader="none"/>
        </w:tabs>
      </w:pPr>
      <w:r>
        <w:tab/>
      </w:r>
    </w:p>
    <w:p>
      <w:pPr>
        <w:spacing w:lineRule="auto" w:line="276" w:beforeAutospacing="1" w:afterAutospacing="1"/>
        <w:ind w:left="426"/>
        <w:jc w:val="both"/>
        <w:rPr>
          <w:rStyle w:val="C3"/>
          <w:rFonts w:ascii="Courier New" w:hAnsi="Courier New"/>
        </w:rPr>
      </w:pPr>
      <w:r>
        <w:rPr>
          <w:rStyle w:val="C3"/>
          <w:rFonts w:ascii="Courier New" w:hAnsi="Courier New"/>
        </w:rPr>
        <w:t>Que se hace necesario efectuar algunas modificaciones para su corrección y dotar a la misma de los medios necesarios que hacen a su fin inmediato;</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analizando el Proyecto de Ordenanza elevado por el Departamento Ejecutivo por el Concejo constituido en comisión, se resuelve por mayoría aprobar el mismo, despacho aprobado por mayoría en sesión de día 3 de octubre de 2012.</w:t>
      </w:r>
    </w:p>
    <w:p>
      <w:pPr>
        <w:pStyle w:val="P11"/>
        <w:rPr>
          <w:rStyle w:val="C3"/>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rPr>
      </w:pPr>
    </w:p>
    <w:p>
      <w:pPr>
        <w:spacing w:beforeAutospacing="1" w:afterAutospacing="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PROCÉ</w:t>
      </w:r>
      <w:r>
        <w:rPr>
          <w:rStyle w:val="C3"/>
          <w:rFonts w:ascii="Courier New" w:hAnsi="Courier New"/>
          <w:b w:val="1"/>
        </w:rPr>
        <w:t>DASE</w:t>
      </w:r>
      <w:r>
        <w:rPr>
          <w:rStyle w:val="C3"/>
          <w:rFonts w:ascii="Courier New" w:hAnsi="Courier New"/>
        </w:rPr>
        <w:t xml:space="preserve"> a la modificación de los Artículos 38, 41, 66, 95, 100 y 106 de la Ordenanza Nº 9233, los que quedarán redactados de la siguiente manera:------------- </w:t>
      </w:r>
    </w:p>
    <w:p>
      <w:pPr>
        <w:jc w:val="both"/>
        <w:rPr>
          <w:rStyle w:val="C3"/>
          <w:rFonts w:ascii="Courier New" w:hAnsi="Courier New"/>
        </w:rPr>
      </w:pPr>
    </w:p>
    <w:p>
      <w:pPr>
        <w:jc w:val="center"/>
        <w:rPr>
          <w:rStyle w:val="C3"/>
          <w:rFonts w:ascii="Courier New" w:hAnsi="Courier New"/>
        </w:rPr>
      </w:pPr>
      <w:r>
        <w:rPr>
          <w:rStyle w:val="C3"/>
          <w:rFonts w:ascii="Courier New" w:hAnsi="Courier New"/>
        </w:rPr>
        <w:t>DISPOSICION DE PAGO</w:t>
      </w:r>
    </w:p>
    <w:p>
      <w:pPr>
        <w:ind w:hanging="426" w:left="426"/>
        <w:jc w:val="both"/>
        <w:rPr>
          <w:rStyle w:val="C3"/>
          <w:rFonts w:ascii="Courier New" w:hAnsi="Courier New"/>
          <w:u w:val="single"/>
        </w:rPr>
      </w:pPr>
    </w:p>
    <w:p>
      <w:pPr>
        <w:ind w:hanging="426" w:left="426"/>
        <w:jc w:val="both"/>
        <w:rPr>
          <w:rStyle w:val="C3"/>
          <w:rFonts w:ascii="Courier New" w:hAnsi="Courier New"/>
        </w:rPr>
      </w:pPr>
      <w:r>
        <w:rPr>
          <w:rStyle w:val="C3"/>
          <w:rFonts w:ascii="Courier New" w:hAnsi="Courier New"/>
          <w:u w:val="single"/>
        </w:rPr>
        <w:t>Art.38</w:t>
      </w:r>
      <w:r>
        <w:rPr>
          <w:rStyle w:val="C3"/>
          <w:rFonts w:ascii="Courier New" w:hAnsi="Courier New"/>
        </w:rPr>
        <w:t>: LOS gastos legítimos, realizados conforme a los procedimientos dispuestos en los artículos precedentes y en virtud de los créditos previstos en el Presupuesto General de Gastos, serán cancelados mediante Ordenes de Pago que emitirá División Contaduría y autorizará en forma expresa el titular del Departamento Ejecutivo o el Secretario y/o Funcionario que habilite expresamente para tal efecto; pudiendo el Departamento Ejecutivo habilitar por Decreto a un Secretario, y en caso de ausencia a Directores de dicha área para que conjuntamente con el Jefe del Departamento Económico Financiero o el Jefe de Sección Tesorería, suscriban los cheques respectivos para el pago.</w:t>
      </w:r>
    </w:p>
    <w:p>
      <w:pPr>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rPr>
      </w:pPr>
      <w:r>
        <w:rPr>
          <w:rStyle w:val="C3"/>
          <w:rFonts w:ascii="Courier New" w:hAnsi="Courier New"/>
          <w:u w:val="single"/>
        </w:rPr>
        <w:t>Art.41</w:t>
      </w:r>
      <w:r>
        <w:rPr>
          <w:rStyle w:val="C3"/>
          <w:rFonts w:ascii="Courier New" w:hAnsi="Courier New"/>
        </w:rPr>
        <w:t>: EL Departamento Ejecutivo podrá hacer uso del crédito a corto plazo, a fin de obtener fondos con destino al pago de gastos de la Administración, por un monto que no exceda la duodécima parte (1/12) de los Recursos Corrientes percibidos en los últimos doce (12) meses. La cancelación de dicho crédito no podrá exceder al Ejercicio en más de ciento ochenta (180) días.</w:t>
      </w:r>
    </w:p>
    <w:p>
      <w:pPr>
        <w:jc w:val="both"/>
        <w:rPr>
          <w:rStyle w:val="C3"/>
          <w:rFonts w:ascii="Courier New" w:hAnsi="Courier New"/>
        </w:rPr>
      </w:pP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u w:val="single"/>
        </w:rPr>
        <w:t>Art.66</w:t>
      </w:r>
      <w:r>
        <w:rPr>
          <w:rStyle w:val="C3"/>
          <w:rFonts w:ascii="Courier New" w:hAnsi="Courier New"/>
        </w:rPr>
        <w:t>: APERTURA DE SOBRES: La apertura de los sobres deberá realizarse en un acto único, conforme al procedimiento que se detalla en los artículos siguientes o en forma discontinua, según las etapas que se expresan a continuación:</w:t>
      </w:r>
    </w:p>
    <w:p>
      <w:pPr>
        <w:jc w:val="both"/>
        <w:rPr>
          <w:rStyle w:val="C3"/>
          <w:rFonts w:ascii="Courier New" w:hAnsi="Courier New"/>
        </w:rPr>
      </w:pPr>
      <w:r>
        <w:rPr>
          <w:rStyle w:val="C3"/>
          <w:rFonts w:ascii="Courier New" w:hAnsi="Courier New"/>
        </w:rPr>
        <w:t xml:space="preserve">   a) Apertura del sobre-presentación.-</w:t>
      </w:r>
    </w:p>
    <w:p>
      <w:pPr>
        <w:ind w:left="426"/>
        <w:jc w:val="both"/>
        <w:rPr>
          <w:rStyle w:val="C3"/>
          <w:rFonts w:ascii="Courier New" w:hAnsi="Courier New"/>
        </w:rPr>
      </w:pPr>
      <w:r>
        <w:rPr>
          <w:rStyle w:val="C3"/>
          <w:rFonts w:ascii="Courier New" w:hAnsi="Courier New"/>
        </w:rPr>
        <w:t xml:space="preserve">b) Aceptación o rechazo de los proponentes conforme a   sus antecedentes (idoneidad moral, técnica y financiera).</w:t>
      </w:r>
    </w:p>
    <w:p>
      <w:pPr>
        <w:ind w:hanging="426" w:left="426"/>
        <w:jc w:val="both"/>
        <w:rPr>
          <w:rStyle w:val="C3"/>
          <w:rFonts w:ascii="Courier New" w:hAnsi="Courier New"/>
        </w:rPr>
      </w:pPr>
      <w:r>
        <w:rPr>
          <w:rStyle w:val="C3"/>
          <w:rFonts w:ascii="Courier New" w:hAnsi="Courier New"/>
        </w:rPr>
        <w:t xml:space="preserve">   c) Estudio de la documentación requerida en el artículo   61 de esta Ordenanza. Los sobres propuesta serán depositados cerrados, lacrados y firmados en lugar seguro, hasta que se haya finalizado el estudio de la documentación, procediéndose a la devolución sin abrir de las propuestas no admitidas y a la apertura de las propuestas restantes. El procedimiento de apertura de los sobres-propuesta deberá hacerse constar detalladamente en el acta de la ceremonia prevista en el artículo 73.</w:t>
      </w:r>
    </w:p>
    <w:p>
      <w:pPr>
        <w:jc w:val="both"/>
        <w:rPr>
          <w:rStyle w:val="C3"/>
          <w:rFonts w:ascii="Courier New" w:hAnsi="Courier New"/>
        </w:rPr>
      </w:pPr>
    </w:p>
    <w:p>
      <w:pPr>
        <w:jc w:val="center"/>
        <w:rPr>
          <w:rStyle w:val="C3"/>
          <w:rFonts w:ascii="Courier New" w:hAnsi="Courier New"/>
        </w:rPr>
      </w:pPr>
      <w:r>
        <w:rPr>
          <w:rStyle w:val="C3"/>
          <w:rFonts w:ascii="Courier New" w:hAnsi="Courier New"/>
        </w:rPr>
        <w:t>CAPÍTULO V: DE LA PUBLICIDAD</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u w:val="single"/>
        </w:rPr>
        <w:t>Art.95</w:t>
      </w:r>
      <w:r>
        <w:rPr>
          <w:rStyle w:val="C3"/>
          <w:rFonts w:ascii="Courier New" w:hAnsi="Courier New"/>
        </w:rPr>
        <w:t>: LAS publicaciones deberán efectuarse con una anticipación mínima de siete (7) días, desde la fecha de la última publicación a la fecha de la apertura de las propuestas de las Licitaciones, y de cinco (5) días en los Concursos Públicos de Precios.</w:t>
      </w:r>
    </w:p>
    <w:p>
      <w:pPr>
        <w:ind w:hanging="426" w:left="426"/>
        <w:jc w:val="both"/>
        <w:rPr>
          <w:rStyle w:val="C3"/>
          <w:rFonts w:ascii="Courier New" w:hAnsi="Courier New"/>
        </w:rPr>
      </w:pPr>
      <w:r>
        <w:rPr>
          <w:rStyle w:val="C3"/>
          <w:rFonts w:ascii="Courier New" w:hAnsi="Courier New"/>
        </w:rPr>
        <w:t xml:space="preserve">   En caso de Remate dicho término de anticipación se   contará a partir del día previsto para la subasta.</w:t>
      </w:r>
    </w:p>
    <w:p>
      <w:pPr>
        <w:jc w:val="both"/>
        <w:rPr>
          <w:rStyle w:val="C3"/>
          <w:rFonts w:ascii="Courier New" w:hAnsi="Courier New"/>
        </w:rPr>
      </w:pPr>
    </w:p>
    <w:p>
      <w:pPr>
        <w:jc w:val="both"/>
        <w:rPr>
          <w:rStyle w:val="C3"/>
          <w:rFonts w:ascii="Courier New" w:hAnsi="Courier New"/>
        </w:rPr>
      </w:pPr>
    </w:p>
    <w:p>
      <w:pPr>
        <w:jc w:val="center"/>
        <w:rPr>
          <w:rStyle w:val="C3"/>
          <w:rFonts w:ascii="Courier New" w:hAnsi="Courier New"/>
        </w:rPr>
      </w:pPr>
      <w:r>
        <w:rPr>
          <w:rStyle w:val="C3"/>
          <w:rFonts w:ascii="Courier New" w:hAnsi="Courier New"/>
        </w:rPr>
        <w:t>CAPÍTULO VII: DE LA RESPONSABILIDAD DE LOS FUNCIONARIOS</w:t>
      </w:r>
    </w:p>
    <w:p>
      <w:pPr>
        <w:jc w:val="both"/>
        <w:rPr>
          <w:rStyle w:val="C3"/>
          <w:rFonts w:ascii="Courier New" w:hAnsi="Courier New"/>
          <w:u w:val="single"/>
        </w:rPr>
      </w:pP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u w:val="single"/>
        </w:rPr>
      </w:pPr>
    </w:p>
    <w:p>
      <w:pPr>
        <w:ind w:hanging="426" w:left="426"/>
        <w:jc w:val="both"/>
        <w:rPr>
          <w:rStyle w:val="C3"/>
          <w:rFonts w:ascii="Courier New" w:hAnsi="Courier New"/>
          <w:u w:val="single"/>
        </w:rPr>
      </w:pPr>
    </w:p>
    <w:p>
      <w:pPr>
        <w:ind w:hanging="426" w:left="426"/>
        <w:jc w:val="both"/>
        <w:rPr>
          <w:rStyle w:val="C3"/>
          <w:rFonts w:ascii="Courier New" w:hAnsi="Courier New"/>
          <w:u w:val="single"/>
        </w:rPr>
      </w:pPr>
    </w:p>
    <w:p>
      <w:pPr>
        <w:ind w:hanging="426" w:left="426"/>
        <w:jc w:val="both"/>
        <w:rPr>
          <w:rStyle w:val="C3"/>
          <w:rFonts w:ascii="Courier New" w:hAnsi="Courier New"/>
          <w:u w:val="single"/>
        </w:rPr>
      </w:pPr>
    </w:p>
    <w:p>
      <w:pPr>
        <w:ind w:hanging="426" w:left="426"/>
        <w:jc w:val="both"/>
        <w:rPr>
          <w:rStyle w:val="C3"/>
          <w:rFonts w:ascii="Courier New" w:hAnsi="Courier New"/>
          <w:u w:val="single"/>
        </w:rPr>
      </w:pPr>
    </w:p>
    <w:p>
      <w:pPr>
        <w:ind w:hanging="426" w:left="426"/>
        <w:jc w:val="both"/>
        <w:rPr>
          <w:rStyle w:val="C3"/>
          <w:rFonts w:ascii="Courier New" w:hAnsi="Courier New"/>
          <w:u w:val="single"/>
        </w:rPr>
      </w:pPr>
    </w:p>
    <w:p>
      <w:pPr>
        <w:ind w:hanging="426" w:left="426"/>
        <w:jc w:val="both"/>
        <w:rPr>
          <w:rStyle w:val="C3"/>
          <w:rFonts w:ascii="Courier New" w:hAnsi="Courier New"/>
          <w:u w:val="single"/>
        </w:rPr>
      </w:pPr>
    </w:p>
    <w:p>
      <w:pPr>
        <w:ind w:hanging="426" w:left="426"/>
        <w:jc w:val="both"/>
        <w:rPr>
          <w:rStyle w:val="C3"/>
          <w:rFonts w:ascii="Courier New" w:hAnsi="Courier New"/>
          <w:u w:val="single"/>
        </w:rPr>
      </w:pPr>
    </w:p>
    <w:p>
      <w:pPr>
        <w:ind w:hanging="426" w:left="426"/>
        <w:jc w:val="both"/>
        <w:rPr>
          <w:rStyle w:val="C3"/>
          <w:rFonts w:ascii="Courier New" w:hAnsi="Courier New"/>
        </w:rPr>
      </w:pPr>
      <w:r>
        <w:rPr>
          <w:rStyle w:val="C3"/>
          <w:rFonts w:ascii="Courier New" w:hAnsi="Courier New"/>
        </w:rPr>
        <w:t>.../// 2.-</w:t>
      </w:r>
    </w:p>
    <w:p>
      <w:pPr>
        <w:ind w:hanging="426" w:left="426"/>
        <w:jc w:val="both"/>
        <w:rPr>
          <w:rStyle w:val="C3"/>
          <w:rFonts w:ascii="Courier New" w:hAnsi="Courier New"/>
          <w:u w:val="single"/>
        </w:rPr>
      </w:pPr>
    </w:p>
    <w:p>
      <w:pPr>
        <w:ind w:hanging="426" w:left="426"/>
        <w:jc w:val="both"/>
        <w:rPr>
          <w:rStyle w:val="C3"/>
          <w:rFonts w:ascii="Courier New" w:hAnsi="Courier New"/>
          <w:u w:val="single"/>
        </w:rPr>
      </w:pPr>
    </w:p>
    <w:p>
      <w:pPr>
        <w:ind w:hanging="426" w:left="426"/>
        <w:jc w:val="both"/>
        <w:rPr>
          <w:rStyle w:val="C3"/>
          <w:rFonts w:ascii="Courier New" w:hAnsi="Courier New"/>
        </w:rPr>
      </w:pPr>
      <w:r>
        <w:rPr>
          <w:rStyle w:val="C3"/>
          <w:rFonts w:ascii="Courier New" w:hAnsi="Courier New"/>
          <w:u w:val="single"/>
        </w:rPr>
        <w:t>Art.100</w:t>
      </w:r>
      <w:r>
        <w:rPr>
          <w:rStyle w:val="C3"/>
          <w:rFonts w:ascii="Courier New" w:hAnsi="Courier New"/>
        </w:rPr>
        <w:t xml:space="preserve">: TODO trámite por el cual se promuevan las contrataciones a que se hace referencia en esta Ordenanza, deberá formalizarse mediante expediente, con la intervención del Intendente, en el caso de licitaciones públicos y concursos públicos, y del Secretario correspondiente según el área demandante de los bienes o servicios a contratar. En las otras formas de contratación será suficiente la firma del Secretario del área demandante de los bienes o servicios a contratar.  Se dejará constancia del cumplimiento de cada uno de los requisitos exigidos por la misma o de orden legal, pudiendo basarse el superior jerárquico en informes y dictámenes emanados de su inferior.-</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u w:val="single"/>
        </w:rPr>
        <w:t>Art.106</w:t>
      </w:r>
      <w:r>
        <w:rPr>
          <w:rStyle w:val="C3"/>
          <w:rFonts w:ascii="Courier New" w:hAnsi="Courier New"/>
        </w:rPr>
        <w:t>: DE modo general, los egresos deberán librarse mediante cheques contra las cuentas corrientes del Municipio, salvo aquellos que tengan previsto cuentas especiales, pudiendo también formalizarse los egresos utilizando los títulos y valores (cheques de terceros) recibidos de terceros contribuyentes de este Municipio.</w:t>
      </w:r>
    </w:p>
    <w:p>
      <w:pPr>
        <w:ind w:hanging="426" w:left="426"/>
        <w:jc w:val="both"/>
        <w:rPr>
          <w:rStyle w:val="C3"/>
          <w:rFonts w:ascii="Courier New" w:hAnsi="Courier New"/>
        </w:rPr>
      </w:pPr>
      <w:r>
        <w:rPr>
          <w:rStyle w:val="C3"/>
          <w:rFonts w:ascii="Courier New" w:hAnsi="Courier New"/>
        </w:rPr>
        <w:t xml:space="preserve">   Autorízase al Departamento Ejecutivo Municipal a utilizar el sistema para el pago de obligaciones de este Municipio de cheques con la modalidad de pago diferido u otros medio bancarizados y autorizados por la autoridad de aplicación en materia de Entidades Financieras. El vencimiento del pago con cheque diferido no podrá superar el plazo de un año de su emisión.</w:t>
      </w:r>
    </w:p>
    <w:p>
      <w:pPr>
        <w:ind w:hanging="426" w:left="426"/>
        <w:jc w:val="both"/>
        <w:rPr>
          <w:rStyle w:val="C3"/>
          <w:rFonts w:ascii="Courier New" w:hAnsi="Courier New"/>
        </w:rPr>
      </w:pPr>
    </w:p>
    <w:p>
      <w:pPr>
        <w:ind w:hanging="426" w:left="426"/>
        <w:jc w:val="both"/>
        <w:rPr>
          <w:rStyle w:val="C3"/>
          <w:rFonts w:ascii="Courier New" w:hAnsi="Courier New"/>
          <w:b w:val="1"/>
          <w:u w:val="single"/>
        </w:rPr>
      </w:pPr>
      <w:r>
        <w:rPr>
          <w:rStyle w:val="C3"/>
          <w:rFonts w:ascii="Courier New" w:hAnsi="Courier New"/>
          <w:b w:val="1"/>
          <w:u w:val="single"/>
        </w:rPr>
        <w:t>Art.2</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w:t>
      </w:r>
      <w:r>
        <w:rPr>
          <w:rStyle w:val="C3"/>
          <w:rFonts w:ascii="Courier New" w:hAnsi="Courier New"/>
          <w:b w:val="1"/>
          <w:u w:val="single"/>
        </w:rPr>
        <w:t xml:space="preserve"> </w:t>
      </w:r>
    </w:p>
    <w:p>
      <w:pPr>
        <w:pStyle w:val="P17"/>
        <w:rPr>
          <w:rStyle w:val="C3"/>
        </w:rPr>
      </w:pPr>
    </w:p>
    <w:p>
      <w:pPr>
        <w:pStyle w:val="P17"/>
      </w:pPr>
      <w:r>
        <w:t xml:space="preserve">DADA EN LA SALA DE SESIONES DEL HONORABLE CONCEJO DELIBERANTE A LOS TRES DÍAS DEL MES DE OCTUBRE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7890479D">
      <w:start w:val="0"/>
      <w:numFmt w:val="bullet"/>
      <w:suff w:val="tab"/>
      <w:lvlText w:val=""/>
      <w:lvlJc w:val="left"/>
      <w:pPr>
        <w:ind w:hanging="360" w:left="927"/>
      </w:pPr>
      <w:rPr>
        <w:rFonts w:ascii="Symbol" w:hAnsi="Symbol"/>
      </w:rPr>
    </w:lvl>
    <w:lvl w:ilvl="1" w:tplc="5F1AF3D7">
      <w:start w:val="1"/>
      <w:numFmt w:val="bullet"/>
      <w:suff w:val="tab"/>
      <w:lvlText w:val="o"/>
      <w:lvlJc w:val="left"/>
      <w:pPr>
        <w:ind w:hanging="360" w:left="1647"/>
      </w:pPr>
      <w:rPr>
        <w:rFonts w:ascii="Courier New" w:hAnsi="Courier New"/>
      </w:rPr>
    </w:lvl>
    <w:lvl w:ilvl="2" w:tplc="2E2BC5EC">
      <w:start w:val="1"/>
      <w:numFmt w:val="bullet"/>
      <w:suff w:val="tab"/>
      <w:lvlText w:val=""/>
      <w:lvlJc w:val="left"/>
      <w:pPr>
        <w:ind w:hanging="360" w:left="2367"/>
      </w:pPr>
      <w:rPr>
        <w:rFonts w:ascii="Wingdings" w:hAnsi="Wingdings"/>
      </w:rPr>
    </w:lvl>
    <w:lvl w:ilvl="3" w:tplc="72BCD103">
      <w:start w:val="1"/>
      <w:numFmt w:val="bullet"/>
      <w:suff w:val="tab"/>
      <w:lvlText w:val=""/>
      <w:lvlJc w:val="left"/>
      <w:pPr>
        <w:ind w:hanging="360" w:left="3087"/>
      </w:pPr>
      <w:rPr>
        <w:rFonts w:ascii="Symbol" w:hAnsi="Symbol"/>
      </w:rPr>
    </w:lvl>
    <w:lvl w:ilvl="4" w:tplc="03A427F1">
      <w:start w:val="1"/>
      <w:numFmt w:val="bullet"/>
      <w:suff w:val="tab"/>
      <w:lvlText w:val="o"/>
      <w:lvlJc w:val="left"/>
      <w:pPr>
        <w:ind w:hanging="360" w:left="3807"/>
      </w:pPr>
      <w:rPr>
        <w:rFonts w:ascii="Courier New" w:hAnsi="Courier New"/>
      </w:rPr>
    </w:lvl>
    <w:lvl w:ilvl="5" w:tplc="12D2AC64">
      <w:start w:val="1"/>
      <w:numFmt w:val="bullet"/>
      <w:suff w:val="tab"/>
      <w:lvlText w:val=""/>
      <w:lvlJc w:val="left"/>
      <w:pPr>
        <w:ind w:hanging="360" w:left="4527"/>
      </w:pPr>
      <w:rPr>
        <w:rFonts w:ascii="Wingdings" w:hAnsi="Wingdings"/>
      </w:rPr>
    </w:lvl>
    <w:lvl w:ilvl="6" w:tplc="3945FD44">
      <w:start w:val="1"/>
      <w:numFmt w:val="bullet"/>
      <w:suff w:val="tab"/>
      <w:lvlText w:val=""/>
      <w:lvlJc w:val="left"/>
      <w:pPr>
        <w:ind w:hanging="360" w:left="5247"/>
      </w:pPr>
      <w:rPr>
        <w:rFonts w:ascii="Symbol" w:hAnsi="Symbol"/>
      </w:rPr>
    </w:lvl>
    <w:lvl w:ilvl="7" w:tplc="251C1B14">
      <w:start w:val="1"/>
      <w:numFmt w:val="bullet"/>
      <w:suff w:val="tab"/>
      <w:lvlText w:val="o"/>
      <w:lvlJc w:val="left"/>
      <w:pPr>
        <w:ind w:hanging="360" w:left="5967"/>
      </w:pPr>
      <w:rPr>
        <w:rFonts w:ascii="Courier New" w:hAnsi="Courier New"/>
      </w:rPr>
    </w:lvl>
    <w:lvl w:ilvl="8" w:tplc="41F7F940">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03503B7C">
      <w:start w:val="0"/>
      <w:numFmt w:val="bullet"/>
      <w:suff w:val="tab"/>
      <w:lvlText w:val="-"/>
      <w:lvlJc w:val="left"/>
      <w:pPr>
        <w:ind w:hanging="360" w:left="720"/>
        <w:tabs>
          <w:tab w:val="left" w:pos="720" w:leader="none"/>
        </w:tabs>
      </w:pPr>
      <w:rPr>
        <w:rFonts w:ascii="Times New Roman" w:hAnsi="Times New Roman"/>
      </w:rPr>
    </w:lvl>
    <w:lvl w:ilvl="1" w:tplc="51486E47">
      <w:start w:val="1"/>
      <w:numFmt w:val="bullet"/>
      <w:suff w:val="tab"/>
      <w:lvlText w:val="o"/>
      <w:lvlJc w:val="left"/>
      <w:pPr>
        <w:ind w:hanging="360" w:left="1440"/>
        <w:tabs>
          <w:tab w:val="left" w:pos="1440" w:leader="none"/>
        </w:tabs>
      </w:pPr>
      <w:rPr>
        <w:rFonts w:ascii="Courier New" w:hAnsi="Courier New"/>
      </w:rPr>
    </w:lvl>
    <w:lvl w:ilvl="2" w:tplc="7BAFDC73">
      <w:start w:val="1"/>
      <w:numFmt w:val="bullet"/>
      <w:suff w:val="tab"/>
      <w:lvlText w:val=""/>
      <w:lvlJc w:val="left"/>
      <w:pPr>
        <w:ind w:hanging="360" w:left="2160"/>
        <w:tabs>
          <w:tab w:val="left" w:pos="2160" w:leader="none"/>
        </w:tabs>
      </w:pPr>
      <w:rPr>
        <w:rFonts w:ascii="Wingdings" w:hAnsi="Wingdings"/>
      </w:rPr>
    </w:lvl>
    <w:lvl w:ilvl="3" w:tplc="22B0EC53">
      <w:start w:val="1"/>
      <w:numFmt w:val="bullet"/>
      <w:suff w:val="tab"/>
      <w:lvlText w:val=""/>
      <w:lvlJc w:val="left"/>
      <w:pPr>
        <w:ind w:hanging="360" w:left="2880"/>
        <w:tabs>
          <w:tab w:val="left" w:pos="2880" w:leader="none"/>
        </w:tabs>
      </w:pPr>
      <w:rPr>
        <w:rFonts w:ascii="Symbol" w:hAnsi="Symbol"/>
      </w:rPr>
    </w:lvl>
    <w:lvl w:ilvl="4" w:tplc="7FF79688">
      <w:start w:val="1"/>
      <w:numFmt w:val="bullet"/>
      <w:suff w:val="tab"/>
      <w:lvlText w:val="o"/>
      <w:lvlJc w:val="left"/>
      <w:pPr>
        <w:ind w:hanging="360" w:left="3600"/>
        <w:tabs>
          <w:tab w:val="left" w:pos="3600" w:leader="none"/>
        </w:tabs>
      </w:pPr>
      <w:rPr>
        <w:rFonts w:ascii="Courier New" w:hAnsi="Courier New"/>
      </w:rPr>
    </w:lvl>
    <w:lvl w:ilvl="5" w:tplc="196F357C">
      <w:start w:val="1"/>
      <w:numFmt w:val="bullet"/>
      <w:suff w:val="tab"/>
      <w:lvlText w:val=""/>
      <w:lvlJc w:val="left"/>
      <w:pPr>
        <w:ind w:hanging="360" w:left="4320"/>
        <w:tabs>
          <w:tab w:val="left" w:pos="4320" w:leader="none"/>
        </w:tabs>
      </w:pPr>
      <w:rPr>
        <w:rFonts w:ascii="Wingdings" w:hAnsi="Wingdings"/>
      </w:rPr>
    </w:lvl>
    <w:lvl w:ilvl="6" w:tplc="246E0FB4">
      <w:start w:val="1"/>
      <w:numFmt w:val="bullet"/>
      <w:suff w:val="tab"/>
      <w:lvlText w:val=""/>
      <w:lvlJc w:val="left"/>
      <w:pPr>
        <w:ind w:hanging="360" w:left="5040"/>
        <w:tabs>
          <w:tab w:val="left" w:pos="5040" w:leader="none"/>
        </w:tabs>
      </w:pPr>
      <w:rPr>
        <w:rFonts w:ascii="Symbol" w:hAnsi="Symbol"/>
      </w:rPr>
    </w:lvl>
    <w:lvl w:ilvl="7" w:tplc="2FF9C8A4">
      <w:start w:val="1"/>
      <w:numFmt w:val="bullet"/>
      <w:suff w:val="tab"/>
      <w:lvlText w:val="o"/>
      <w:lvlJc w:val="left"/>
      <w:pPr>
        <w:ind w:hanging="360" w:left="5760"/>
        <w:tabs>
          <w:tab w:val="left" w:pos="5760" w:leader="none"/>
        </w:tabs>
      </w:pPr>
      <w:rPr>
        <w:rFonts w:ascii="Courier New" w:hAnsi="Courier New"/>
      </w:rPr>
    </w:lvl>
    <w:lvl w:ilvl="8" w:tplc="3EEA8C9B">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6B9707DA">
      <w:start w:val="1"/>
      <w:numFmt w:val="bullet"/>
      <w:suff w:val="tab"/>
      <w:lvlText w:val=""/>
      <w:lvlJc w:val="left"/>
      <w:pPr>
        <w:ind w:hanging="360" w:left="720"/>
        <w:tabs>
          <w:tab w:val="left" w:pos="720" w:leader="none"/>
        </w:tabs>
      </w:pPr>
      <w:rPr>
        <w:rFonts w:ascii="Symbol" w:hAnsi="Symbol"/>
      </w:rPr>
    </w:lvl>
    <w:lvl w:ilvl="1" w:tplc="2D0E4035">
      <w:start w:val="1"/>
      <w:numFmt w:val="bullet"/>
      <w:suff w:val="tab"/>
      <w:lvlText w:val="o"/>
      <w:lvlJc w:val="left"/>
      <w:pPr>
        <w:ind w:hanging="360" w:left="1440"/>
        <w:tabs>
          <w:tab w:val="left" w:pos="1440" w:leader="none"/>
        </w:tabs>
      </w:pPr>
      <w:rPr>
        <w:rFonts w:ascii="Courier New" w:hAnsi="Courier New"/>
      </w:rPr>
    </w:lvl>
    <w:lvl w:ilvl="2" w:tplc="626ACD9E">
      <w:start w:val="1"/>
      <w:numFmt w:val="bullet"/>
      <w:suff w:val="tab"/>
      <w:lvlText w:val=""/>
      <w:lvlJc w:val="left"/>
      <w:pPr>
        <w:ind w:hanging="360" w:left="2160"/>
        <w:tabs>
          <w:tab w:val="left" w:pos="2160" w:leader="none"/>
        </w:tabs>
      </w:pPr>
      <w:rPr>
        <w:rFonts w:ascii="Wingdings" w:hAnsi="Wingdings"/>
      </w:rPr>
    </w:lvl>
    <w:lvl w:ilvl="3" w:tplc="7D27E2E6">
      <w:start w:val="1"/>
      <w:numFmt w:val="bullet"/>
      <w:suff w:val="tab"/>
      <w:lvlText w:val=""/>
      <w:lvlJc w:val="left"/>
      <w:pPr>
        <w:ind w:hanging="360" w:left="2880"/>
        <w:tabs>
          <w:tab w:val="left" w:pos="2880" w:leader="none"/>
        </w:tabs>
      </w:pPr>
      <w:rPr>
        <w:rFonts w:ascii="Symbol" w:hAnsi="Symbol"/>
      </w:rPr>
    </w:lvl>
    <w:lvl w:ilvl="4" w:tplc="60EC1FE3">
      <w:start w:val="1"/>
      <w:numFmt w:val="bullet"/>
      <w:suff w:val="tab"/>
      <w:lvlText w:val="o"/>
      <w:lvlJc w:val="left"/>
      <w:pPr>
        <w:ind w:hanging="360" w:left="3600"/>
        <w:tabs>
          <w:tab w:val="left" w:pos="3600" w:leader="none"/>
        </w:tabs>
      </w:pPr>
      <w:rPr>
        <w:rFonts w:ascii="Courier New" w:hAnsi="Courier New"/>
      </w:rPr>
    </w:lvl>
    <w:lvl w:ilvl="5" w:tplc="3B6B53AC">
      <w:start w:val="1"/>
      <w:numFmt w:val="bullet"/>
      <w:suff w:val="tab"/>
      <w:lvlText w:val=""/>
      <w:lvlJc w:val="left"/>
      <w:pPr>
        <w:ind w:hanging="360" w:left="4320"/>
        <w:tabs>
          <w:tab w:val="left" w:pos="4320" w:leader="none"/>
        </w:tabs>
      </w:pPr>
      <w:rPr>
        <w:rFonts w:ascii="Wingdings" w:hAnsi="Wingdings"/>
      </w:rPr>
    </w:lvl>
    <w:lvl w:ilvl="6" w:tplc="22BEEBAF">
      <w:start w:val="1"/>
      <w:numFmt w:val="bullet"/>
      <w:suff w:val="tab"/>
      <w:lvlText w:val=""/>
      <w:lvlJc w:val="left"/>
      <w:pPr>
        <w:ind w:hanging="360" w:left="5040"/>
        <w:tabs>
          <w:tab w:val="left" w:pos="5040" w:leader="none"/>
        </w:tabs>
      </w:pPr>
      <w:rPr>
        <w:rFonts w:ascii="Symbol" w:hAnsi="Symbol"/>
      </w:rPr>
    </w:lvl>
    <w:lvl w:ilvl="7" w:tplc="6951BCB9">
      <w:start w:val="1"/>
      <w:numFmt w:val="bullet"/>
      <w:suff w:val="tab"/>
      <w:lvlText w:val="o"/>
      <w:lvlJc w:val="left"/>
      <w:pPr>
        <w:ind w:hanging="360" w:left="5760"/>
        <w:tabs>
          <w:tab w:val="left" w:pos="5760" w:leader="none"/>
        </w:tabs>
      </w:pPr>
      <w:rPr>
        <w:rFonts w:ascii="Courier New" w:hAnsi="Courier New"/>
      </w:rPr>
    </w:lvl>
    <w:lvl w:ilvl="8" w:tplc="69410C4A">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22AA9D93">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2012-10-04T13:28:00Z</dcterms:created>
  <cp:lastModifiedBy>Ethan Puglia</cp:lastModifiedBy>
  <cp:lastPrinted>2012-09-20T16:00:00Z</cp:lastPrinted>
  <dcterms:modified xsi:type="dcterms:W3CDTF">2019-03-28T17:33:05Z</dcterms:modified>
  <cp:revision>7</cp:revision>
  <dc:title>PROYECTO DE ORDENANZA VIOLENCIA FAMILIAR</dc:title>
</cp:coreProperties>
</file>