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C9D08" Type="http://schemas.openxmlformats.org/officeDocument/2006/relationships/officeDocument" Target="/word/document.xml" /><Relationship Id="coreR5BC9D0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9379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585/12 iniciado por el Sr. Edgar Arroñade;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del pago de Tasa por Servicios a la Propiedad – Cuenta Nº 00002262;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propiedad se encuentra inventariada como patrimonio cultural de Alta Gracia; (Área de Primer Orden);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Área de Planeamiento y Patrimonio considera que lo inventariado presenta alta calificación para el logro de la eximición pedida;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Secretaría de Obras y Servicios Públicos considera que la propiedad se encuentra en condiciones de acogerse a lo establecido en el art. 18 de la Ordenanza Nº 4368, a los efectos de ser Declarada como “Bien de Interés Municipal”;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10 de Octubre de 2012.</w:t>
      </w:r>
    </w:p>
    <w:p>
      <w:pPr>
        <w:pStyle w:val="P11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DECLARAR </w:t>
      </w:r>
      <w:r>
        <w:rPr>
          <w:rStyle w:val="C3"/>
          <w:rFonts w:ascii="Courier New" w:hAnsi="Courier New"/>
        </w:rPr>
        <w:t>como “Bien de Interés Municipal” de acuerdo a lo establecido en el art. 18 de la Ordenanza Nº 4368 y al informe realizado por la Secretaria de Obras y Servicios Públicos al inmueble ubicado en la calle Nieto Nº 129, identificado con ficha patrimonial Nº 93 Designación Catastral 01-01-066-01.-</w:t>
      </w: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la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eximición solicitada del pago de Tasas por Servicios a la Propiedad Cuenta Nº 00002262 de acuerdo a los beneficios de la Ordenanza 4518 art. 261 inc. 2.-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5E0DDA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C0C077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785C51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296970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A05996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6E26CD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0DE4CF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272D93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0838F9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F12638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3EC7A9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E5C377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B2C13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C5B80C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AE9B39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E18B40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D52C92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7C8E63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180585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7A558D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CDBBAA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316664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153B8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8C3F5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18E040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A417D4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424652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6D5A25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2012-10-11T12:48:00Z</dcterms:created>
  <cp:lastModifiedBy>Ethan Puglia</cp:lastModifiedBy>
  <cp:lastPrinted>2012-09-20T16:00:00Z</cp:lastPrinted>
  <dcterms:modified xsi:type="dcterms:W3CDTF">2019-03-28T17:33:05Z</dcterms:modified>
  <cp:revision>9</cp:revision>
  <dc:title>PROYECTO DE ORDENANZA VIOLENCIA FAMILIAR</dc:title>
</cp:coreProperties>
</file>