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D97BA8" Type="http://schemas.openxmlformats.org/officeDocument/2006/relationships/officeDocument" Target="/word/document.xml" /><Relationship Id="coreR2D97BA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Pr>
        <w:pStyle w:val="P4"/>
        <w:jc w:val="left"/>
      </w:pPr>
    </w:p>
    <w:p>
      <w:pPr>
        <w:pStyle w:val="P4"/>
      </w:pPr>
      <w:r>
        <w:t xml:space="preserve">ORDENANZA Nº 9399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El compromiso asumido entre el Estado Municipal y el Sindicato de Trabajadores Municipales de Alta Gracia (SITRAMAG), y</w:t>
      </w:r>
    </w:p>
    <w:p>
      <w:pPr>
        <w:tabs>
          <w:tab w:val="left" w:pos="5255" w:leader="none"/>
        </w:tabs>
        <w:jc w:val="both"/>
        <w:rPr>
          <w:rStyle w:val="C3"/>
          <w:rFonts w:ascii="Courier New" w:hAnsi="Courier New"/>
        </w:rPr>
      </w:pPr>
    </w:p>
    <w:p>
      <w:pPr>
        <w:pStyle w:val="P2"/>
      </w:pPr>
      <w:r>
        <w:t>C O N S I D E R A N D O</w:t>
      </w:r>
    </w:p>
    <w:p/>
    <w:p>
      <w:pPr>
        <w:tabs>
          <w:tab w:val="left" w:pos="2824" w:leader="none"/>
        </w:tabs>
        <w:spacing w:lineRule="auto" w:line="276"/>
        <w:ind w:left="426"/>
        <w:jc w:val="both"/>
        <w:rPr>
          <w:rStyle w:val="C3"/>
          <w:rFonts w:ascii="Courier New" w:hAnsi="Courier New"/>
        </w:rPr>
      </w:pPr>
      <w:r>
        <w:rPr>
          <w:rStyle w:val="C3"/>
          <w:rFonts w:ascii="Courier New" w:hAnsi="Courier New"/>
        </w:rPr>
        <w:t xml:space="preserve">Que luego de las reuniones que se han estado llevando a cabo entre el Ejecutivo Municipal y el Sindicato de Trabajadores Municipales de Alta Gracia (SITRAMAG)  se ha arribado a un acuerdo salarial  entre la Municipalidad de Alta Gracia representada por el Intendente Municipal Dr. Walter Saieg y el Secretario de Economía Y Finanzas Cont. Oscar José Suarez y el Secretario General del SITRAMAG,  Sr. Julio Gabriel Medina y el Sr. Secretario de Acción Social Sr. Jorge Ternavasio, firmado entre las partes precedentemente mencionadas, el día 3 de Octubre de 2012;</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Que asimismo esta Gestión considera necesario replantear la forma de calcular las remuneraciones de los Funcionarios Municipales que hoy se rigen por la Ordenanza Nº 7894 modificada por la Ordenanza Nº 7906;</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 xml:space="preserve">Que en función de lo expuesto se cree conveniente no trasladar los incrementos salariales otorgados a los empleados municipales, a la Planta Política hasta tanto se readecue la forma de determinar su remuneración;                                                                                                                                                                                                                                                                                                                                                                                                                                                                                                </w:t>
      </w:r>
    </w:p>
    <w:p>
      <w:pPr>
        <w:tabs>
          <w:tab w:val="left" w:pos="2824" w:leader="none"/>
        </w:tabs>
        <w:spacing w:lineRule="auto" w:line="276"/>
        <w:ind w:left="426"/>
        <w:rPr>
          <w:rStyle w:val="C3"/>
          <w:rFonts w:ascii="Courier New" w:hAnsi="Courier New"/>
        </w:rPr>
      </w:pPr>
    </w:p>
    <w:p>
      <w:pPr>
        <w:tabs>
          <w:tab w:val="left" w:pos="2824" w:leader="none"/>
        </w:tabs>
        <w:spacing w:lineRule="auto" w:line="276"/>
        <w:ind w:left="426"/>
        <w:jc w:val="both"/>
        <w:rPr>
          <w:rStyle w:val="C3"/>
        </w:rPr>
      </w:pPr>
      <w:r>
        <w:rPr>
          <w:rStyle w:val="C3"/>
          <w:rFonts w:ascii="Courier New" w:hAnsi="Courier New"/>
        </w:rPr>
        <w:t>Que analizando el Proyecto de Ordenanza elevado por el Departamento Ejecutivo en sesión de fecha 31 de octubre de 2012, se aprueba por unanimidad el mismo.</w:t>
        <w:tab/>
        <w:t xml:space="preserve">                                                                                                                                                                                                                                                                                                                                                                                                                                                                                      </w:t>
      </w:r>
    </w:p>
    <w:p>
      <w:pPr>
        <w:pStyle w:val="P11"/>
        <w:jc w:val="right"/>
      </w:pPr>
      <w:r>
        <w:t>...///</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hanging="567" w:left="567"/>
        <w:jc w:val="left"/>
      </w:pPr>
      <w:r>
        <w:t>...///2.-</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rPr>
        <w:t>:</w:t>
      </w:r>
      <w:r>
        <w:rPr>
          <w:rStyle w:val="C3"/>
          <w:rFonts w:ascii="Courier New" w:hAnsi="Courier New"/>
          <w:b w:val="1"/>
        </w:rPr>
        <w:t xml:space="preserve"> </w:t>
      </w:r>
      <w:r>
        <w:rPr>
          <w:rStyle w:val="C3"/>
          <w:rFonts w:ascii="Courier New" w:hAnsi="Courier New"/>
          <w:b w:val="1"/>
        </w:rPr>
        <w:t>OTÓRGASE</w:t>
      </w:r>
      <w:r>
        <w:rPr>
          <w:rStyle w:val="C3"/>
          <w:rFonts w:ascii="Courier New" w:hAnsi="Courier New"/>
        </w:rPr>
        <w:t xml:space="preserve"> un incremento  salarial a partir del mes de Octubre de 2012  de PESOS CIEN ($100), a todo el personal municipal de planta permanente y contratados en sus dos modalidades  jornalizados y mensualizados. Será aplicado al sueldo básico de la categoría Nº 1 respetando el coeficiente de la escala salarial establecida en el Anexo 1 de la Ordenanza 3519 y sus modificatorias, Escalafón Municipal.</w:t>
      </w:r>
    </w:p>
    <w:p>
      <w:pPr>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OTÓRGASE </w:t>
      </w:r>
      <w:r>
        <w:rPr>
          <w:rStyle w:val="C3"/>
          <w:rFonts w:ascii="Courier New" w:hAnsi="Courier New"/>
        </w:rPr>
        <w:t xml:space="preserve">un incremento  salarial a partir del mes de Noviembre de 2012  de PESOS CINCUENTA ($50), a todo el personal municipal de planta permanente y contratados en sus dos modalidades  jornalizados y mensualizados. Será aplicado al sueldo básico de la categoría Nº 1 respetando el coeficiente de la escala salarial establecida en el Anexo 1 de la Ordenanza 3519 y sus modificatorias, Escalafón Municipal.</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rPr>
        <w:t>SUSP</w:t>
      </w:r>
      <w:r>
        <w:rPr>
          <w:rStyle w:val="C3"/>
          <w:rFonts w:ascii="Courier New" w:hAnsi="Courier New"/>
          <w:b w:val="1"/>
        </w:rPr>
        <w:t>É</w:t>
      </w:r>
      <w:r>
        <w:rPr>
          <w:rStyle w:val="C3"/>
          <w:rFonts w:ascii="Courier New" w:hAnsi="Courier New"/>
          <w:b w:val="1"/>
        </w:rPr>
        <w:t xml:space="preserve">NDASE  </w:t>
      </w:r>
      <w:r>
        <w:rPr>
          <w:rStyle w:val="C3"/>
          <w:rFonts w:ascii="Courier New" w:hAnsi="Courier New"/>
        </w:rPr>
        <w:t>la aplicación del artículo 7 de la Ordenanza Nº 7894 modificado por la Ordenanza Nº 7906 (la cual determina el aumento automático a la planta política) hasta tanto se sancione una Ordenanza que determine la forma de calcular las remuneraciones de los Funcionarios Municipales.</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Art.4</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LOS TREINTA Y UN DÍAS DEL MES DE OCTUBRE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2407CD94">
      <w:start w:val="0"/>
      <w:numFmt w:val="bullet"/>
      <w:suff w:val="tab"/>
      <w:lvlText w:val=""/>
      <w:lvlJc w:val="left"/>
      <w:pPr>
        <w:ind w:hanging="360" w:left="927"/>
      </w:pPr>
      <w:rPr>
        <w:rFonts w:ascii="Symbol" w:hAnsi="Symbol"/>
      </w:rPr>
    </w:lvl>
    <w:lvl w:ilvl="1" w:tplc="1675DAA7">
      <w:start w:val="1"/>
      <w:numFmt w:val="bullet"/>
      <w:suff w:val="tab"/>
      <w:lvlText w:val="o"/>
      <w:lvlJc w:val="left"/>
      <w:pPr>
        <w:ind w:hanging="360" w:left="1647"/>
      </w:pPr>
      <w:rPr>
        <w:rFonts w:ascii="Courier New" w:hAnsi="Courier New"/>
      </w:rPr>
    </w:lvl>
    <w:lvl w:ilvl="2" w:tplc="6EBFCC2F">
      <w:start w:val="1"/>
      <w:numFmt w:val="bullet"/>
      <w:suff w:val="tab"/>
      <w:lvlText w:val=""/>
      <w:lvlJc w:val="left"/>
      <w:pPr>
        <w:ind w:hanging="360" w:left="2367"/>
      </w:pPr>
      <w:rPr>
        <w:rFonts w:ascii="Wingdings" w:hAnsi="Wingdings"/>
      </w:rPr>
    </w:lvl>
    <w:lvl w:ilvl="3" w:tplc="2C58439A">
      <w:start w:val="1"/>
      <w:numFmt w:val="bullet"/>
      <w:suff w:val="tab"/>
      <w:lvlText w:val=""/>
      <w:lvlJc w:val="left"/>
      <w:pPr>
        <w:ind w:hanging="360" w:left="3087"/>
      </w:pPr>
      <w:rPr>
        <w:rFonts w:ascii="Symbol" w:hAnsi="Symbol"/>
      </w:rPr>
    </w:lvl>
    <w:lvl w:ilvl="4" w:tplc="5196697C">
      <w:start w:val="1"/>
      <w:numFmt w:val="bullet"/>
      <w:suff w:val="tab"/>
      <w:lvlText w:val="o"/>
      <w:lvlJc w:val="left"/>
      <w:pPr>
        <w:ind w:hanging="360" w:left="3807"/>
      </w:pPr>
      <w:rPr>
        <w:rFonts w:ascii="Courier New" w:hAnsi="Courier New"/>
      </w:rPr>
    </w:lvl>
    <w:lvl w:ilvl="5" w:tplc="3EC793FB">
      <w:start w:val="1"/>
      <w:numFmt w:val="bullet"/>
      <w:suff w:val="tab"/>
      <w:lvlText w:val=""/>
      <w:lvlJc w:val="left"/>
      <w:pPr>
        <w:ind w:hanging="360" w:left="4527"/>
      </w:pPr>
      <w:rPr>
        <w:rFonts w:ascii="Wingdings" w:hAnsi="Wingdings"/>
      </w:rPr>
    </w:lvl>
    <w:lvl w:ilvl="6" w:tplc="525218C0">
      <w:start w:val="1"/>
      <w:numFmt w:val="bullet"/>
      <w:suff w:val="tab"/>
      <w:lvlText w:val=""/>
      <w:lvlJc w:val="left"/>
      <w:pPr>
        <w:ind w:hanging="360" w:left="5247"/>
      </w:pPr>
      <w:rPr>
        <w:rFonts w:ascii="Symbol" w:hAnsi="Symbol"/>
      </w:rPr>
    </w:lvl>
    <w:lvl w:ilvl="7" w:tplc="4673594A">
      <w:start w:val="1"/>
      <w:numFmt w:val="bullet"/>
      <w:suff w:val="tab"/>
      <w:lvlText w:val="o"/>
      <w:lvlJc w:val="left"/>
      <w:pPr>
        <w:ind w:hanging="360" w:left="5967"/>
      </w:pPr>
      <w:rPr>
        <w:rFonts w:ascii="Courier New" w:hAnsi="Courier New"/>
      </w:rPr>
    </w:lvl>
    <w:lvl w:ilvl="8" w:tplc="75697425">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0EF20EBA">
      <w:start w:val="0"/>
      <w:numFmt w:val="bullet"/>
      <w:suff w:val="tab"/>
      <w:lvlText w:val="-"/>
      <w:lvlJc w:val="left"/>
      <w:pPr>
        <w:ind w:hanging="360" w:left="720"/>
        <w:tabs>
          <w:tab w:val="left" w:pos="720" w:leader="none"/>
        </w:tabs>
      </w:pPr>
      <w:rPr>
        <w:rFonts w:ascii="Times New Roman" w:hAnsi="Times New Roman"/>
      </w:rPr>
    </w:lvl>
    <w:lvl w:ilvl="1" w:tplc="583C54FF">
      <w:start w:val="1"/>
      <w:numFmt w:val="bullet"/>
      <w:suff w:val="tab"/>
      <w:lvlText w:val="o"/>
      <w:lvlJc w:val="left"/>
      <w:pPr>
        <w:ind w:hanging="360" w:left="1440"/>
        <w:tabs>
          <w:tab w:val="left" w:pos="1440" w:leader="none"/>
        </w:tabs>
      </w:pPr>
      <w:rPr>
        <w:rFonts w:ascii="Courier New" w:hAnsi="Courier New"/>
      </w:rPr>
    </w:lvl>
    <w:lvl w:ilvl="2" w:tplc="063312B3">
      <w:start w:val="1"/>
      <w:numFmt w:val="bullet"/>
      <w:suff w:val="tab"/>
      <w:lvlText w:val=""/>
      <w:lvlJc w:val="left"/>
      <w:pPr>
        <w:ind w:hanging="360" w:left="2160"/>
        <w:tabs>
          <w:tab w:val="left" w:pos="2160" w:leader="none"/>
        </w:tabs>
      </w:pPr>
      <w:rPr>
        <w:rFonts w:ascii="Wingdings" w:hAnsi="Wingdings"/>
      </w:rPr>
    </w:lvl>
    <w:lvl w:ilvl="3" w:tplc="417F81D4">
      <w:start w:val="1"/>
      <w:numFmt w:val="bullet"/>
      <w:suff w:val="tab"/>
      <w:lvlText w:val=""/>
      <w:lvlJc w:val="left"/>
      <w:pPr>
        <w:ind w:hanging="360" w:left="2880"/>
        <w:tabs>
          <w:tab w:val="left" w:pos="2880" w:leader="none"/>
        </w:tabs>
      </w:pPr>
      <w:rPr>
        <w:rFonts w:ascii="Symbol" w:hAnsi="Symbol"/>
      </w:rPr>
    </w:lvl>
    <w:lvl w:ilvl="4" w:tplc="5815F057">
      <w:start w:val="1"/>
      <w:numFmt w:val="bullet"/>
      <w:suff w:val="tab"/>
      <w:lvlText w:val="o"/>
      <w:lvlJc w:val="left"/>
      <w:pPr>
        <w:ind w:hanging="360" w:left="3600"/>
        <w:tabs>
          <w:tab w:val="left" w:pos="3600" w:leader="none"/>
        </w:tabs>
      </w:pPr>
      <w:rPr>
        <w:rFonts w:ascii="Courier New" w:hAnsi="Courier New"/>
      </w:rPr>
    </w:lvl>
    <w:lvl w:ilvl="5" w:tplc="3B5283F3">
      <w:start w:val="1"/>
      <w:numFmt w:val="bullet"/>
      <w:suff w:val="tab"/>
      <w:lvlText w:val=""/>
      <w:lvlJc w:val="left"/>
      <w:pPr>
        <w:ind w:hanging="360" w:left="4320"/>
        <w:tabs>
          <w:tab w:val="left" w:pos="4320" w:leader="none"/>
        </w:tabs>
      </w:pPr>
      <w:rPr>
        <w:rFonts w:ascii="Wingdings" w:hAnsi="Wingdings"/>
      </w:rPr>
    </w:lvl>
    <w:lvl w:ilvl="6" w:tplc="2AB67F46">
      <w:start w:val="1"/>
      <w:numFmt w:val="bullet"/>
      <w:suff w:val="tab"/>
      <w:lvlText w:val=""/>
      <w:lvlJc w:val="left"/>
      <w:pPr>
        <w:ind w:hanging="360" w:left="5040"/>
        <w:tabs>
          <w:tab w:val="left" w:pos="5040" w:leader="none"/>
        </w:tabs>
      </w:pPr>
      <w:rPr>
        <w:rFonts w:ascii="Symbol" w:hAnsi="Symbol"/>
      </w:rPr>
    </w:lvl>
    <w:lvl w:ilvl="7" w:tplc="3DA50A9B">
      <w:start w:val="1"/>
      <w:numFmt w:val="bullet"/>
      <w:suff w:val="tab"/>
      <w:lvlText w:val="o"/>
      <w:lvlJc w:val="left"/>
      <w:pPr>
        <w:ind w:hanging="360" w:left="5760"/>
        <w:tabs>
          <w:tab w:val="left" w:pos="5760" w:leader="none"/>
        </w:tabs>
      </w:pPr>
      <w:rPr>
        <w:rFonts w:ascii="Courier New" w:hAnsi="Courier New"/>
      </w:rPr>
    </w:lvl>
    <w:lvl w:ilvl="8" w:tplc="66329A99">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2F37C9EE">
      <w:start w:val="1"/>
      <w:numFmt w:val="bullet"/>
      <w:suff w:val="tab"/>
      <w:lvlText w:val=""/>
      <w:lvlJc w:val="left"/>
      <w:pPr>
        <w:ind w:hanging="360" w:left="720"/>
        <w:tabs>
          <w:tab w:val="left" w:pos="720" w:leader="none"/>
        </w:tabs>
      </w:pPr>
      <w:rPr>
        <w:rFonts w:ascii="Symbol" w:hAnsi="Symbol"/>
      </w:rPr>
    </w:lvl>
    <w:lvl w:ilvl="1" w:tplc="7330FC61">
      <w:start w:val="1"/>
      <w:numFmt w:val="bullet"/>
      <w:suff w:val="tab"/>
      <w:lvlText w:val="o"/>
      <w:lvlJc w:val="left"/>
      <w:pPr>
        <w:ind w:hanging="360" w:left="1440"/>
        <w:tabs>
          <w:tab w:val="left" w:pos="1440" w:leader="none"/>
        </w:tabs>
      </w:pPr>
      <w:rPr>
        <w:rFonts w:ascii="Courier New" w:hAnsi="Courier New"/>
      </w:rPr>
    </w:lvl>
    <w:lvl w:ilvl="2" w:tplc="0F477216">
      <w:start w:val="1"/>
      <w:numFmt w:val="bullet"/>
      <w:suff w:val="tab"/>
      <w:lvlText w:val=""/>
      <w:lvlJc w:val="left"/>
      <w:pPr>
        <w:ind w:hanging="360" w:left="2160"/>
        <w:tabs>
          <w:tab w:val="left" w:pos="2160" w:leader="none"/>
        </w:tabs>
      </w:pPr>
      <w:rPr>
        <w:rFonts w:ascii="Wingdings" w:hAnsi="Wingdings"/>
      </w:rPr>
    </w:lvl>
    <w:lvl w:ilvl="3" w:tplc="564CDF8E">
      <w:start w:val="1"/>
      <w:numFmt w:val="bullet"/>
      <w:suff w:val="tab"/>
      <w:lvlText w:val=""/>
      <w:lvlJc w:val="left"/>
      <w:pPr>
        <w:ind w:hanging="360" w:left="2880"/>
        <w:tabs>
          <w:tab w:val="left" w:pos="2880" w:leader="none"/>
        </w:tabs>
      </w:pPr>
      <w:rPr>
        <w:rFonts w:ascii="Symbol" w:hAnsi="Symbol"/>
      </w:rPr>
    </w:lvl>
    <w:lvl w:ilvl="4" w:tplc="1054D09F">
      <w:start w:val="1"/>
      <w:numFmt w:val="bullet"/>
      <w:suff w:val="tab"/>
      <w:lvlText w:val="o"/>
      <w:lvlJc w:val="left"/>
      <w:pPr>
        <w:ind w:hanging="360" w:left="3600"/>
        <w:tabs>
          <w:tab w:val="left" w:pos="3600" w:leader="none"/>
        </w:tabs>
      </w:pPr>
      <w:rPr>
        <w:rFonts w:ascii="Courier New" w:hAnsi="Courier New"/>
      </w:rPr>
    </w:lvl>
    <w:lvl w:ilvl="5" w:tplc="3319B348">
      <w:start w:val="1"/>
      <w:numFmt w:val="bullet"/>
      <w:suff w:val="tab"/>
      <w:lvlText w:val=""/>
      <w:lvlJc w:val="left"/>
      <w:pPr>
        <w:ind w:hanging="360" w:left="4320"/>
        <w:tabs>
          <w:tab w:val="left" w:pos="4320" w:leader="none"/>
        </w:tabs>
      </w:pPr>
      <w:rPr>
        <w:rFonts w:ascii="Wingdings" w:hAnsi="Wingdings"/>
      </w:rPr>
    </w:lvl>
    <w:lvl w:ilvl="6" w:tplc="74D725C8">
      <w:start w:val="1"/>
      <w:numFmt w:val="bullet"/>
      <w:suff w:val="tab"/>
      <w:lvlText w:val=""/>
      <w:lvlJc w:val="left"/>
      <w:pPr>
        <w:ind w:hanging="360" w:left="5040"/>
        <w:tabs>
          <w:tab w:val="left" w:pos="5040" w:leader="none"/>
        </w:tabs>
      </w:pPr>
      <w:rPr>
        <w:rFonts w:ascii="Symbol" w:hAnsi="Symbol"/>
      </w:rPr>
    </w:lvl>
    <w:lvl w:ilvl="7" w:tplc="75DE9430">
      <w:start w:val="1"/>
      <w:numFmt w:val="bullet"/>
      <w:suff w:val="tab"/>
      <w:lvlText w:val="o"/>
      <w:lvlJc w:val="left"/>
      <w:pPr>
        <w:ind w:hanging="360" w:left="5760"/>
        <w:tabs>
          <w:tab w:val="left" w:pos="5760" w:leader="none"/>
        </w:tabs>
      </w:pPr>
      <w:rPr>
        <w:rFonts w:ascii="Courier New" w:hAnsi="Courier New"/>
      </w:rPr>
    </w:lvl>
    <w:lvl w:ilvl="8" w:tplc="709DD614">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06E9E3F5">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2012-11-01T12:44:00Z</dcterms:created>
  <cp:lastModifiedBy>Ethan Puglia</cp:lastModifiedBy>
  <cp:lastPrinted>2012-09-20T16:00:00Z</cp:lastPrinted>
  <dcterms:modified xsi:type="dcterms:W3CDTF">2019-03-28T17:33:06Z</dcterms:modified>
  <cp:revision>4</cp:revision>
  <dc:title>PROYECTO DE ORDENANZA VIOLENCIA FAMILIAR</dc:title>
</cp:coreProperties>
</file>