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165417" Type="http://schemas.openxmlformats.org/officeDocument/2006/relationships/officeDocument" Target="/word/document.xml" /><Relationship Id="coreR5916541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  <w:r>
        <w:t xml:space="preserve">  </w:t>
      </w:r>
    </w:p>
    <w:p>
      <w:pPr>
        <w:pStyle w:val="P4"/>
      </w:pPr>
      <w:r>
        <w:t xml:space="preserve">ORDENANZA Nº 9402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545/12 iniciado por la Sra. Reta Sandra Gabriela;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t xml:space="preserve"> </w:t>
      </w:r>
      <w:r>
        <w:rPr>
          <w:rStyle w:val="C3"/>
          <w:rFonts w:ascii="Courier New" w:hAnsi="Courier New"/>
        </w:rPr>
        <w:t xml:space="preserve">Que solicita eximición del pago de Tasa por Servicios a   la Propiedad, Cuenta Nº 00025759;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trata de una familia nuclear, inserta en el   sistema productivo a través del trabajo informal;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además obtienen recursos monetarios mediante transferencia formal;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los menores se encuentran insertos en el sistema educativo formal  y reciben asistencia alimentaria PAICOR;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Sra. Reta se encuentra tramitando una pensión por madre de siete hijos en la Secretaría de Desarrollo Social;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tiene problemas de salud y la familia  reside en vivienda propia;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un hogar que se ubica debajo de la línea de pobreza;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analizado  el  Expediente  de  referencia  por  la Comisión de Hacienda, la misma emite despacho favorable aprobado por unanimidad en  Sesión Ordinaria del día 31 de Octubre de 2012.</w:t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>cada cuota actual abonada en término de Tasa por Servicios a la Propiedad correspondientes a la Cuenta Nº 00025759, eximir seis cuotas de la deuda que mantiene a la fecha de promulgación de la presente.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hará caducar el beneficio otorgado.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al contribuyente un plan de pagos por los gastos y honorarios del o los juicios iniciados para percibir el cobro de las tasas en cuotas de Pesos Cien ($100).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Y UN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C91A9D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2D4F66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67315D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40B253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27CD6F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0C67BF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4F8B0B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39A710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9047D0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FD9CC4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8D0B0C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AFE50B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7494A4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AFE2F0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D5BD15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AFF5B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52884A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28263C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C41736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C19A6E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A7436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02170F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5D056F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68E624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BCA96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C9D669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E03280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ED3D31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2012-11-01T11:55:00Z</dcterms:created>
  <cp:lastModifiedBy>Ethan Puglia</cp:lastModifiedBy>
  <cp:lastPrinted>2012-09-20T16:00:00Z</cp:lastPrinted>
  <dcterms:modified xsi:type="dcterms:W3CDTF">2019-03-28T17:33:06Z</dcterms:modified>
  <cp:revision>7</cp:revision>
  <dc:title>PROYECTO DE ORDENANZA VIOLENCIA FAMILIAR</dc:title>
</cp:coreProperties>
</file>