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D42EE4" Type="http://schemas.openxmlformats.org/officeDocument/2006/relationships/officeDocument" Target="/word/document.xml" /><Relationship Id="coreR7BD42EE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  <w:r>
        <w:t xml:space="preserve">  </w:t>
      </w:r>
    </w:p>
    <w:p>
      <w:pPr>
        <w:pStyle w:val="P4"/>
      </w:pPr>
      <w:r>
        <w:t xml:space="preserve">ORDENANZA Nº 9409 </w:t>
      </w:r>
    </w:p>
    <w:p/>
    <w:p>
      <w:pPr>
        <w:spacing w:before="100" w:after="100" w:beforeAutospacing="1" w:afterAutospacing="1"/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947/2011, iniciado por García, Gabriel Alberto solicitando visar las dos previas que se adjuntan al Expediente y su Anexo 824/2012 iniciado por Perricone, José Luis cuyo asunto es “Solicita que no se demuela pared.- Ref. Obra de Calle Chile y Cochabamba” (hoy Intendente Héctor Llorens); y </w:t>
      </w:r>
    </w:p>
    <w:p>
      <w:pPr>
        <w:rPr>
          <w:rStyle w:val="C3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fs. 5 la Oficina de Catastro informa respecto del lote en cuestión la designación catastral 3-1-192-34- lote 34, Mz. Of. H1 Cta. 30331 ubicado en la calle Chile esq. Intendente Héctor Llorens de Barrio Cámara;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fs. 57 y 58 la Sección Control Urbano produce el Memorándum Nº 29/12 e informa que ha constatado que la edificación invade la línea de ochava en 0,22m en uno de sus vértices y 0,55m en el otro vértice y que además existe un poste de hormigón perteneciente a la EPEC que se encuentra invadiendo la línea de ochava;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fs. 59 el profesional actuante Arq. José Luis Perricone hace su descargo e informa los motivos de la invasión de la línea de ochava;</w:t>
      </w: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64 el titular registral, Sr. García, solicita su tratamiento por vía de excepción;</w:t>
      </w: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Comisión de Obras y Servicios Públicos visitó el lugar, observó y constató la invasión de la línea de ochava y el estado de avance de la obra verificando que en esa esquina la calle Chile posee un importante desplazamiento en su continuidad lo que obliga al tránsito pasante por dicha arteria a disminuir considerablemente la velocidad;</w:t>
      </w: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68 la Secretaría de Obras y Servicios Públicos informa y opina acceder a la excepción solicitada;</w:t>
      </w:r>
    </w:p>
    <w:p>
      <w:pPr>
        <w:tabs>
          <w:tab w:val="left" w:pos="2358" w:leader="none"/>
        </w:tabs>
        <w:spacing w:lineRule="auto" w:line="276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358" w:leader="none"/>
        </w:tabs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analizado  el  Expediente  de  referencia  por  la Comisión de Obras y Servicios Públicos, la misma emite despacho favorable aprobado por unanimidad en  Sesión Ordinaria del día 14 de Noviembre de 2012.</w:t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la excepción solicitada referida al art. 46 (construcción de ochava) de la Ordenanza Nº 8548, de acuerdo a la construcción existente según plano de fs. 58 del Expediente Nº 947/11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CATORCE DÍAS DEL MES DE NOVIEMBRE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579DB8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BA4528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73F3B0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CD2978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A00664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D7243E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EF6CB4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89DE0A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7E5CF4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97E1F0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6C5CD9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7C4BD8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F1004F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F2C3DA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F92F79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225347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AACC15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0631DD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1A62084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1FA4CD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D0F020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D597BC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885505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1B6BE6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D37A7F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5D92AE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C1D0A4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6DF2C38"/>
    <w:multiLevelType w:val="hybridMultilevel"/>
    <w:lvl w:ilvl="0" w:tplc="54375FF3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74332A9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119B1D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9F5D71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90627E0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907F82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4DEDEF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E560D7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0906A5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75E8F89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4"/>
  </w:num>
  <w:num w:numId="5">
    <w:abstractNumId w:val="28"/>
  </w:num>
  <w:num w:numId="6">
    <w:abstractNumId w:val="7"/>
  </w:num>
  <w:num w:numId="7">
    <w:abstractNumId w:val="22"/>
  </w:num>
  <w:num w:numId="8">
    <w:abstractNumId w:val="3"/>
  </w:num>
  <w:num w:numId="9">
    <w:abstractNumId w:val="6"/>
  </w:num>
  <w:num w:numId="10">
    <w:abstractNumId w:val="8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5"/>
  </w:num>
  <w:num w:numId="17">
    <w:abstractNumId w:val="17"/>
  </w:num>
  <w:num w:numId="18">
    <w:abstractNumId w:val="29"/>
  </w:num>
  <w:num w:numId="19">
    <w:abstractNumId w:val="10"/>
  </w:num>
  <w:num w:numId="20">
    <w:abstractNumId w:val="4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1"/>
  </w:num>
  <w:num w:numId="26">
    <w:abstractNumId w:val="31"/>
  </w:num>
  <w:num w:numId="27">
    <w:abstractNumId w:val="2"/>
  </w:num>
  <w:num w:numId="28">
    <w:abstractNumId w:val="23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1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2012-11-15T12:13:00Z</dcterms:created>
  <cp:lastModifiedBy>Ethan Puglia</cp:lastModifiedBy>
  <cp:lastPrinted>2012-11-14T15:56:00Z</cp:lastPrinted>
  <dcterms:modified xsi:type="dcterms:W3CDTF">2019-03-28T17:33:06Z</dcterms:modified>
  <cp:revision>6</cp:revision>
  <dc:title>PROYECTO DE ORDENANZA VIOLENCIA FAMILIAR</dc:title>
</cp:coreProperties>
</file>